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EC91F" w14:textId="1ACC3BAC" w:rsidR="00CA7E39" w:rsidRPr="00F20756" w:rsidRDefault="00CA7E39" w:rsidP="00CA7E39">
      <w:pPr>
        <w:pStyle w:val="paragraph"/>
        <w:spacing w:before="0" w:beforeAutospacing="0" w:after="0" w:afterAutospacing="0"/>
        <w:jc w:val="center"/>
        <w:textAlignment w:val="baseline"/>
      </w:pPr>
      <w:r w:rsidRPr="00F20756">
        <w:rPr>
          <w:rStyle w:val="normaltextrun"/>
          <w:rFonts w:eastAsiaTheme="majorEastAsia"/>
        </w:rPr>
        <w:t xml:space="preserve">ESTUDIO DE CASO DE BIODIVERSIDAD </w:t>
      </w:r>
    </w:p>
    <w:p w14:paraId="30365BA4" w14:textId="15840AB4" w:rsidR="00CA7E39" w:rsidRPr="00F20756" w:rsidRDefault="00CA7E39" w:rsidP="00CA7E39">
      <w:pPr>
        <w:pStyle w:val="paragraph"/>
        <w:spacing w:before="0" w:beforeAutospacing="0" w:after="0" w:afterAutospacing="0"/>
        <w:jc w:val="center"/>
        <w:textAlignment w:val="baseline"/>
      </w:pPr>
    </w:p>
    <w:p w14:paraId="306670F4" w14:textId="77777777" w:rsidR="00CA7E39" w:rsidRPr="00F20756" w:rsidRDefault="00CA7E39" w:rsidP="00CA7E39">
      <w:pPr>
        <w:pStyle w:val="paragraph"/>
        <w:spacing w:before="0" w:beforeAutospacing="0" w:after="0" w:afterAutospacing="0"/>
        <w:jc w:val="center"/>
        <w:textAlignment w:val="baseline"/>
      </w:pPr>
      <w:r w:rsidRPr="00F20756">
        <w:rPr>
          <w:rStyle w:val="eop"/>
          <w:rFonts w:eastAsiaTheme="majorEastAsia"/>
        </w:rPr>
        <w:t> </w:t>
      </w:r>
    </w:p>
    <w:p w14:paraId="65081A54" w14:textId="77777777" w:rsidR="00CA7E39" w:rsidRPr="00F20756" w:rsidRDefault="00CA7E39" w:rsidP="00CA7E39">
      <w:pPr>
        <w:pStyle w:val="paragraph"/>
        <w:spacing w:before="0" w:beforeAutospacing="0" w:after="0" w:afterAutospacing="0"/>
        <w:jc w:val="center"/>
        <w:textAlignment w:val="baseline"/>
      </w:pPr>
      <w:r w:rsidRPr="00F20756">
        <w:rPr>
          <w:rStyle w:val="eop"/>
          <w:rFonts w:eastAsiaTheme="majorEastAsia"/>
        </w:rPr>
        <w:t> </w:t>
      </w:r>
    </w:p>
    <w:p w14:paraId="02E6F29E"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70F652AA"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34CE379A" w14:textId="3DC31449" w:rsidR="00CA7E39" w:rsidRPr="00F20756" w:rsidRDefault="00936B27" w:rsidP="00CA7E39">
      <w:pPr>
        <w:pStyle w:val="paragraph"/>
        <w:spacing w:before="0" w:beforeAutospacing="0" w:after="0" w:afterAutospacing="0"/>
        <w:jc w:val="center"/>
        <w:textAlignment w:val="baseline"/>
      </w:pPr>
      <w:r w:rsidRPr="00F20756">
        <w:rPr>
          <w:rStyle w:val="normaltextrun"/>
          <w:rFonts w:eastAsiaTheme="majorEastAsia"/>
        </w:rPr>
        <w:t>HÉCTOR ARMANDO SANCHEZ CURBELO</w:t>
      </w:r>
    </w:p>
    <w:p w14:paraId="6637D274"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06919F3C"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1B967446"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75F77319"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310785D6"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08A6310C"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6AB445B7"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20E36BB4"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4FA79349"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6ACA2884" w14:textId="77777777" w:rsidR="00CA7E39" w:rsidRPr="00F20756" w:rsidRDefault="00CA7E39" w:rsidP="00CA7E39">
      <w:pPr>
        <w:pStyle w:val="paragraph"/>
        <w:spacing w:before="0" w:beforeAutospacing="0" w:after="0" w:afterAutospacing="0"/>
        <w:jc w:val="center"/>
        <w:textAlignment w:val="baseline"/>
      </w:pPr>
      <w:r w:rsidRPr="00F20756">
        <w:rPr>
          <w:rStyle w:val="normaltextrun"/>
          <w:rFonts w:eastAsiaTheme="majorEastAsia"/>
        </w:rPr>
        <w:t>Inírida (Guainía)</w:t>
      </w:r>
      <w:r w:rsidRPr="00F20756">
        <w:rPr>
          <w:rStyle w:val="eop"/>
          <w:rFonts w:eastAsiaTheme="majorEastAsia"/>
        </w:rPr>
        <w:t> </w:t>
      </w:r>
    </w:p>
    <w:p w14:paraId="6881375A" w14:textId="77777777" w:rsidR="00CA7E39" w:rsidRPr="00F20756" w:rsidRDefault="00CA7E39" w:rsidP="00CA7E39">
      <w:pPr>
        <w:pStyle w:val="paragraph"/>
        <w:spacing w:before="0" w:beforeAutospacing="0" w:after="0" w:afterAutospacing="0"/>
        <w:jc w:val="center"/>
        <w:textAlignment w:val="baseline"/>
      </w:pPr>
      <w:r w:rsidRPr="00F20756">
        <w:rPr>
          <w:rStyle w:val="normaltextrun"/>
          <w:rFonts w:eastAsiaTheme="majorEastAsia"/>
        </w:rPr>
        <w:t>Marco del Proceso de Mapeo Territorializado de Actores</w:t>
      </w:r>
      <w:r w:rsidRPr="00F20756">
        <w:rPr>
          <w:rStyle w:val="eop"/>
          <w:rFonts w:eastAsiaTheme="majorEastAsia"/>
        </w:rPr>
        <w:t> </w:t>
      </w:r>
    </w:p>
    <w:p w14:paraId="40356B03" w14:textId="77777777" w:rsidR="00CA7E39" w:rsidRPr="00F20756" w:rsidRDefault="00CA7E39" w:rsidP="00CA7E39">
      <w:pPr>
        <w:pStyle w:val="paragraph"/>
        <w:spacing w:before="0" w:beforeAutospacing="0" w:after="0" w:afterAutospacing="0"/>
        <w:jc w:val="center"/>
        <w:textAlignment w:val="baseline"/>
      </w:pPr>
      <w:r w:rsidRPr="00F20756">
        <w:rPr>
          <w:rStyle w:val="normaltextrun"/>
          <w:rFonts w:eastAsiaTheme="majorEastAsia"/>
        </w:rPr>
        <w:t>Monitoreo en la Región Amazónica</w:t>
      </w:r>
      <w:r w:rsidRPr="00F20756">
        <w:rPr>
          <w:rStyle w:val="eop"/>
          <w:rFonts w:eastAsiaTheme="majorEastAsia"/>
        </w:rPr>
        <w:t> </w:t>
      </w:r>
    </w:p>
    <w:p w14:paraId="5C571A78" w14:textId="77777777" w:rsidR="00CA7E39" w:rsidRPr="00F20756" w:rsidRDefault="00CA7E39" w:rsidP="00CA7E39">
      <w:pPr>
        <w:pStyle w:val="paragraph"/>
        <w:spacing w:before="0" w:beforeAutospacing="0" w:after="0" w:afterAutospacing="0"/>
        <w:jc w:val="center"/>
        <w:textAlignment w:val="baseline"/>
      </w:pPr>
      <w:r w:rsidRPr="00F20756">
        <w:rPr>
          <w:rStyle w:val="eop"/>
          <w:rFonts w:eastAsiaTheme="majorEastAsia"/>
        </w:rPr>
        <w:t> </w:t>
      </w:r>
    </w:p>
    <w:p w14:paraId="149F5945" w14:textId="77777777" w:rsidR="00CA7E39" w:rsidRPr="00F20756" w:rsidRDefault="00CA7E39" w:rsidP="00CA7E39">
      <w:pPr>
        <w:pStyle w:val="paragraph"/>
        <w:spacing w:before="0" w:beforeAutospacing="0" w:after="0" w:afterAutospacing="0"/>
        <w:jc w:val="center"/>
        <w:textAlignment w:val="baseline"/>
      </w:pPr>
      <w:r w:rsidRPr="00F20756">
        <w:rPr>
          <w:rStyle w:val="eop"/>
          <w:rFonts w:eastAsiaTheme="majorEastAsia"/>
        </w:rPr>
        <w:t> </w:t>
      </w:r>
    </w:p>
    <w:p w14:paraId="40306038" w14:textId="77777777" w:rsidR="00CA7E39" w:rsidRPr="00F20756" w:rsidRDefault="00CA7E39" w:rsidP="00CA7E39">
      <w:pPr>
        <w:pStyle w:val="paragraph"/>
        <w:spacing w:before="0" w:beforeAutospacing="0" w:after="0" w:afterAutospacing="0"/>
        <w:jc w:val="center"/>
        <w:textAlignment w:val="baseline"/>
      </w:pPr>
      <w:r w:rsidRPr="00F20756">
        <w:rPr>
          <w:rStyle w:val="eop"/>
          <w:rFonts w:eastAsiaTheme="majorEastAsia"/>
        </w:rPr>
        <w:t> </w:t>
      </w:r>
    </w:p>
    <w:p w14:paraId="1AE80802" w14:textId="77777777" w:rsidR="00CA7E39" w:rsidRPr="00F20756" w:rsidRDefault="00CA7E39" w:rsidP="00CA7E39">
      <w:pPr>
        <w:pStyle w:val="paragraph"/>
        <w:spacing w:before="0" w:beforeAutospacing="0" w:after="0" w:afterAutospacing="0"/>
        <w:jc w:val="center"/>
        <w:textAlignment w:val="baseline"/>
      </w:pPr>
      <w:r w:rsidRPr="00F20756">
        <w:rPr>
          <w:rStyle w:val="eop"/>
          <w:rFonts w:eastAsiaTheme="majorEastAsia"/>
        </w:rPr>
        <w:t> </w:t>
      </w:r>
    </w:p>
    <w:p w14:paraId="5287E907" w14:textId="77777777" w:rsidR="00CA7E39" w:rsidRPr="00F20756" w:rsidRDefault="00CA7E39" w:rsidP="00CA7E39">
      <w:pPr>
        <w:pStyle w:val="paragraph"/>
        <w:spacing w:before="0" w:beforeAutospacing="0" w:after="0" w:afterAutospacing="0"/>
        <w:jc w:val="center"/>
        <w:textAlignment w:val="baseline"/>
      </w:pPr>
      <w:r w:rsidRPr="00F20756">
        <w:rPr>
          <w:rStyle w:val="eop"/>
          <w:rFonts w:eastAsiaTheme="majorEastAsia"/>
        </w:rPr>
        <w:t> </w:t>
      </w:r>
    </w:p>
    <w:p w14:paraId="43038324" w14:textId="77777777" w:rsidR="00CA7E39" w:rsidRPr="00F20756" w:rsidRDefault="00CA7E39" w:rsidP="00CA7E39">
      <w:pPr>
        <w:pStyle w:val="paragraph"/>
        <w:spacing w:before="0" w:beforeAutospacing="0" w:after="0" w:afterAutospacing="0"/>
        <w:jc w:val="center"/>
        <w:textAlignment w:val="baseline"/>
      </w:pPr>
      <w:r w:rsidRPr="00F20756">
        <w:rPr>
          <w:rStyle w:val="eop"/>
          <w:rFonts w:eastAsiaTheme="majorEastAsia"/>
        </w:rPr>
        <w:t> </w:t>
      </w:r>
    </w:p>
    <w:p w14:paraId="78CACE7F"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1760D6D9"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791F0E48"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3773DCFD"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72F1A10F"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3ABCC3C5"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76AF3833"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3B0C025A"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56C2FA0E"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10FFD03E"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40E4963E"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1C649973" w14:textId="77777777" w:rsidR="00CA7E39" w:rsidRPr="00F20756" w:rsidRDefault="00CA7E39" w:rsidP="00CA7E39">
      <w:pPr>
        <w:pStyle w:val="paragraph"/>
        <w:spacing w:before="0" w:beforeAutospacing="0" w:after="0" w:afterAutospacing="0"/>
        <w:jc w:val="center"/>
        <w:textAlignment w:val="baseline"/>
        <w:rPr>
          <w:rStyle w:val="normaltextrun"/>
          <w:rFonts w:eastAsiaTheme="majorEastAsia"/>
        </w:rPr>
      </w:pPr>
    </w:p>
    <w:p w14:paraId="5A5F8AD8" w14:textId="77777777" w:rsidR="00CA7E39" w:rsidRPr="00F20756" w:rsidRDefault="00CA7E39" w:rsidP="00CA7E39">
      <w:pPr>
        <w:pStyle w:val="paragraph"/>
        <w:spacing w:before="0" w:beforeAutospacing="0" w:after="0" w:afterAutospacing="0"/>
        <w:jc w:val="center"/>
        <w:textAlignment w:val="baseline"/>
      </w:pPr>
      <w:r w:rsidRPr="00F20756">
        <w:rPr>
          <w:rStyle w:val="normaltextrun"/>
          <w:rFonts w:eastAsiaTheme="majorEastAsia"/>
        </w:rPr>
        <w:t>Ministerio de Minas y Energía</w:t>
      </w:r>
      <w:r w:rsidRPr="00F20756">
        <w:rPr>
          <w:rStyle w:val="eop"/>
          <w:rFonts w:eastAsiaTheme="majorEastAsia"/>
        </w:rPr>
        <w:t> </w:t>
      </w:r>
    </w:p>
    <w:p w14:paraId="1E5E77E8" w14:textId="77777777" w:rsidR="00CA7E39" w:rsidRPr="00F20756" w:rsidRDefault="00CA7E39" w:rsidP="00CA7E39">
      <w:pPr>
        <w:pStyle w:val="paragraph"/>
        <w:spacing w:before="0" w:beforeAutospacing="0" w:after="0" w:afterAutospacing="0"/>
        <w:jc w:val="center"/>
        <w:textAlignment w:val="baseline"/>
      </w:pPr>
      <w:r w:rsidRPr="00F20756">
        <w:rPr>
          <w:rStyle w:val="normaltextrun"/>
          <w:rFonts w:eastAsiaTheme="majorEastAsia"/>
        </w:rPr>
        <w:t>Viceministerio de Minas</w:t>
      </w:r>
      <w:r w:rsidRPr="00F20756">
        <w:rPr>
          <w:rStyle w:val="eop"/>
          <w:rFonts w:eastAsiaTheme="majorEastAsia"/>
        </w:rPr>
        <w:t> </w:t>
      </w:r>
    </w:p>
    <w:p w14:paraId="292AC74A" w14:textId="77777777" w:rsidR="00CA7E39" w:rsidRPr="00F20756" w:rsidRDefault="00CA7E39" w:rsidP="00CA7E39">
      <w:pPr>
        <w:pStyle w:val="paragraph"/>
        <w:spacing w:before="0" w:beforeAutospacing="0" w:after="0" w:afterAutospacing="0"/>
        <w:jc w:val="center"/>
        <w:textAlignment w:val="baseline"/>
        <w:rPr>
          <w:rStyle w:val="eop"/>
          <w:rFonts w:eastAsiaTheme="majorEastAsia"/>
        </w:rPr>
      </w:pPr>
      <w:r w:rsidRPr="00F20756">
        <w:rPr>
          <w:rStyle w:val="normaltextrun"/>
          <w:rFonts w:eastAsiaTheme="majorEastAsia"/>
        </w:rPr>
        <w:t>Sala de Monitoreo</w:t>
      </w:r>
      <w:r w:rsidRPr="00F20756">
        <w:rPr>
          <w:rStyle w:val="eop"/>
          <w:rFonts w:eastAsiaTheme="majorEastAsia"/>
        </w:rPr>
        <w:t> </w:t>
      </w:r>
    </w:p>
    <w:p w14:paraId="692C2AB6" w14:textId="77777777" w:rsidR="00CA7E39" w:rsidRPr="00F20756" w:rsidRDefault="00CA7E39" w:rsidP="00CA7E39">
      <w:pPr>
        <w:pStyle w:val="paragraph"/>
        <w:spacing w:before="0" w:beforeAutospacing="0" w:after="0" w:afterAutospacing="0"/>
        <w:jc w:val="center"/>
        <w:textAlignment w:val="baseline"/>
      </w:pPr>
      <w:r w:rsidRPr="00F20756">
        <w:rPr>
          <w:rStyle w:val="normaltextrun"/>
          <w:rFonts w:eastAsiaTheme="majorEastAsia"/>
        </w:rPr>
        <w:t>Inírida (Guainía)</w:t>
      </w:r>
      <w:r w:rsidRPr="00F20756">
        <w:rPr>
          <w:rStyle w:val="eop"/>
          <w:rFonts w:eastAsiaTheme="majorEastAsia"/>
        </w:rPr>
        <w:t> </w:t>
      </w:r>
    </w:p>
    <w:p w14:paraId="5E6F773C" w14:textId="77777777" w:rsidR="00CA7E39" w:rsidRPr="00F20756" w:rsidRDefault="00CA7E39" w:rsidP="00CA7E39">
      <w:pPr>
        <w:pStyle w:val="paragraph"/>
        <w:spacing w:before="0" w:beforeAutospacing="0" w:after="0" w:afterAutospacing="0"/>
        <w:jc w:val="center"/>
        <w:textAlignment w:val="baseline"/>
      </w:pPr>
      <w:r w:rsidRPr="00F20756">
        <w:rPr>
          <w:rStyle w:val="eop"/>
          <w:rFonts w:eastAsiaTheme="majorEastAsia"/>
        </w:rPr>
        <w:t>2026 </w:t>
      </w:r>
    </w:p>
    <w:p w14:paraId="4C39F168" w14:textId="77777777" w:rsidR="00ED1223" w:rsidRPr="00F20756" w:rsidRDefault="00ED1223">
      <w:pPr>
        <w:rPr>
          <w:rFonts w:ascii="Times New Roman" w:hAnsi="Times New Roman" w:cs="Times New Roman"/>
          <w:sz w:val="24"/>
          <w:szCs w:val="24"/>
        </w:rPr>
      </w:pPr>
    </w:p>
    <w:p w14:paraId="06CE42BD" w14:textId="77777777" w:rsidR="00CA7E39" w:rsidRPr="00F20756" w:rsidRDefault="00CA7E39">
      <w:pPr>
        <w:rPr>
          <w:rFonts w:ascii="Times New Roman" w:hAnsi="Times New Roman" w:cs="Times New Roman"/>
          <w:sz w:val="24"/>
          <w:szCs w:val="24"/>
        </w:rPr>
      </w:pPr>
    </w:p>
    <w:p w14:paraId="6D3E283D" w14:textId="43846337" w:rsidR="00CA7E39" w:rsidRPr="00F20756" w:rsidRDefault="00E205E1">
      <w:pPr>
        <w:rPr>
          <w:rFonts w:ascii="Times New Roman" w:hAnsi="Times New Roman" w:cs="Times New Roman"/>
          <w:sz w:val="24"/>
          <w:szCs w:val="24"/>
        </w:rPr>
      </w:pPr>
      <w:r w:rsidRPr="00F20756">
        <w:rPr>
          <w:rFonts w:ascii="Times New Roman" w:hAnsi="Times New Roman" w:cs="Times New Roman"/>
          <w:sz w:val="24"/>
          <w:szCs w:val="24"/>
        </w:rPr>
        <w:lastRenderedPageBreak/>
        <w:t xml:space="preserve">El departamento del Guainía, está situado en el extremo centro - oriental de Colombia y sus límites son: Por el norte el departamento del Vichada, por el sur con la república del Brasil, por el oriente con la república de Venezuela y por el occidente con los departamentos del Guaviare y </w:t>
      </w:r>
      <w:r w:rsidR="00F20756" w:rsidRPr="00F20756">
        <w:rPr>
          <w:rFonts w:ascii="Times New Roman" w:hAnsi="Times New Roman" w:cs="Times New Roman"/>
          <w:sz w:val="24"/>
          <w:szCs w:val="24"/>
        </w:rPr>
        <w:t>Vaupés</w:t>
      </w:r>
    </w:p>
    <w:p w14:paraId="0D3B1F00" w14:textId="02DE4688" w:rsidR="00E205E1" w:rsidRPr="00F20756" w:rsidRDefault="00E205E1" w:rsidP="00F21DF1">
      <w:pPr>
        <w:jc w:val="both"/>
        <w:rPr>
          <w:rFonts w:ascii="Times New Roman" w:hAnsi="Times New Roman" w:cs="Times New Roman"/>
          <w:sz w:val="24"/>
          <w:szCs w:val="24"/>
        </w:rPr>
      </w:pPr>
      <w:r w:rsidRPr="00F20756">
        <w:rPr>
          <w:rFonts w:ascii="Times New Roman" w:hAnsi="Times New Roman" w:cs="Times New Roman"/>
          <w:sz w:val="24"/>
          <w:szCs w:val="24"/>
        </w:rPr>
        <w:t xml:space="preserve">Las principales vías de comunicación en el área de estudio son los ríosGuainía e Inírida, siendo navegables en la mayor parte de sus trayectos,la navegación sólo se ve interrumpida por imponentes saltos que en </w:t>
      </w:r>
      <w:r w:rsidR="00F20756" w:rsidRPr="00F20756">
        <w:rPr>
          <w:rFonts w:ascii="Times New Roman" w:hAnsi="Times New Roman" w:cs="Times New Roman"/>
          <w:sz w:val="24"/>
          <w:szCs w:val="24"/>
        </w:rPr>
        <w:t>la región</w:t>
      </w:r>
      <w:r w:rsidRPr="00F20756">
        <w:rPr>
          <w:rFonts w:ascii="Times New Roman" w:hAnsi="Times New Roman" w:cs="Times New Roman"/>
          <w:sz w:val="24"/>
          <w:szCs w:val="24"/>
        </w:rPr>
        <w:t xml:space="preserve"> se conocen como raudales o cachiveras, aumentado su peligrosidad en tiempos de verano. Existen aeródromos en Caranacoa, caño Colorado y Tigre en el río </w:t>
      </w:r>
      <w:r w:rsidR="00F20756" w:rsidRPr="00F20756">
        <w:rPr>
          <w:rFonts w:ascii="Times New Roman" w:hAnsi="Times New Roman" w:cs="Times New Roman"/>
          <w:sz w:val="24"/>
          <w:szCs w:val="24"/>
        </w:rPr>
        <w:t>Guainía; en</w:t>
      </w:r>
      <w:r w:rsidRPr="00F20756">
        <w:rPr>
          <w:rFonts w:ascii="Times New Roman" w:hAnsi="Times New Roman" w:cs="Times New Roman"/>
          <w:sz w:val="24"/>
          <w:szCs w:val="24"/>
        </w:rPr>
        <w:t xml:space="preserve"> Morichal Nuevo en el río Inírida. Estas pistas no tienen ningún tipo </w:t>
      </w:r>
      <w:r w:rsidR="00F20756" w:rsidRPr="00F20756">
        <w:rPr>
          <w:rFonts w:ascii="Times New Roman" w:hAnsi="Times New Roman" w:cs="Times New Roman"/>
          <w:sz w:val="24"/>
          <w:szCs w:val="24"/>
        </w:rPr>
        <w:t>de señalización</w:t>
      </w:r>
      <w:r w:rsidRPr="00F20756">
        <w:rPr>
          <w:rFonts w:ascii="Times New Roman" w:hAnsi="Times New Roman" w:cs="Times New Roman"/>
          <w:sz w:val="24"/>
          <w:szCs w:val="24"/>
        </w:rPr>
        <w:t xml:space="preserve"> ni se les realiza el mantenimiento necesario y en ellas sólose efectúan vuelos ocasionales.</w:t>
      </w:r>
    </w:p>
    <w:p w14:paraId="1EE9909E" w14:textId="747C05C3" w:rsidR="00E205E1" w:rsidRPr="00F20756" w:rsidRDefault="00E205E1" w:rsidP="00F21DF1">
      <w:pPr>
        <w:jc w:val="both"/>
        <w:rPr>
          <w:rFonts w:ascii="Times New Roman" w:hAnsi="Times New Roman" w:cs="Times New Roman"/>
          <w:sz w:val="24"/>
          <w:szCs w:val="24"/>
        </w:rPr>
      </w:pPr>
      <w:r w:rsidRPr="00F20756">
        <w:rPr>
          <w:rFonts w:ascii="Times New Roman" w:hAnsi="Times New Roman" w:cs="Times New Roman"/>
          <w:sz w:val="24"/>
          <w:szCs w:val="24"/>
        </w:rPr>
        <w:t xml:space="preserve">Los suelos presentan características de baja fertilidad debido a los </w:t>
      </w:r>
      <w:r w:rsidR="00F20756" w:rsidRPr="00F20756">
        <w:rPr>
          <w:rFonts w:ascii="Times New Roman" w:hAnsi="Times New Roman" w:cs="Times New Roman"/>
          <w:sz w:val="24"/>
          <w:szCs w:val="24"/>
        </w:rPr>
        <w:t>altos contenidos</w:t>
      </w:r>
      <w:r w:rsidRPr="00F20756">
        <w:rPr>
          <w:rFonts w:ascii="Times New Roman" w:hAnsi="Times New Roman" w:cs="Times New Roman"/>
          <w:sz w:val="24"/>
          <w:szCs w:val="24"/>
        </w:rPr>
        <w:t xml:space="preserve"> de aluminio y sílice, bajos niveles de bases y de </w:t>
      </w:r>
      <w:r w:rsidR="00F20756" w:rsidRPr="00F20756">
        <w:rPr>
          <w:rFonts w:ascii="Times New Roman" w:hAnsi="Times New Roman" w:cs="Times New Roman"/>
          <w:sz w:val="24"/>
          <w:szCs w:val="24"/>
        </w:rPr>
        <w:t>elementos como</w:t>
      </w:r>
      <w:r w:rsidRPr="00F20756">
        <w:rPr>
          <w:rFonts w:ascii="Times New Roman" w:hAnsi="Times New Roman" w:cs="Times New Roman"/>
          <w:sz w:val="24"/>
          <w:szCs w:val="24"/>
        </w:rPr>
        <w:t xml:space="preserve"> el fósforo, potasio, calcio, magnesio y microelementos. </w:t>
      </w:r>
      <w:r w:rsidR="00F20756" w:rsidRPr="00F20756">
        <w:rPr>
          <w:rFonts w:ascii="Times New Roman" w:hAnsi="Times New Roman" w:cs="Times New Roman"/>
          <w:sz w:val="24"/>
          <w:szCs w:val="24"/>
        </w:rPr>
        <w:t>Existen diferentes</w:t>
      </w:r>
      <w:r w:rsidRPr="00F20756">
        <w:rPr>
          <w:rFonts w:ascii="Times New Roman" w:hAnsi="Times New Roman" w:cs="Times New Roman"/>
          <w:sz w:val="24"/>
          <w:szCs w:val="24"/>
        </w:rPr>
        <w:t xml:space="preserve"> clases de suelos y por lo general coinciden con la </w:t>
      </w:r>
      <w:r w:rsidR="00F20756" w:rsidRPr="00F20756">
        <w:rPr>
          <w:rFonts w:ascii="Times New Roman" w:hAnsi="Times New Roman" w:cs="Times New Roman"/>
          <w:sz w:val="24"/>
          <w:szCs w:val="24"/>
        </w:rPr>
        <w:t>zona geomorfológica</w:t>
      </w:r>
      <w:r w:rsidRPr="00F20756">
        <w:rPr>
          <w:rFonts w:ascii="Times New Roman" w:hAnsi="Times New Roman" w:cs="Times New Roman"/>
          <w:sz w:val="24"/>
          <w:szCs w:val="24"/>
        </w:rPr>
        <w:t xml:space="preserve"> del área, suelos </w:t>
      </w:r>
      <w:r w:rsidR="00F20756" w:rsidRPr="00F20756">
        <w:rPr>
          <w:rFonts w:ascii="Times New Roman" w:hAnsi="Times New Roman" w:cs="Times New Roman"/>
          <w:sz w:val="24"/>
          <w:szCs w:val="24"/>
        </w:rPr>
        <w:t>entisoles,</w:t>
      </w:r>
      <w:r w:rsidRPr="00F20756">
        <w:rPr>
          <w:rFonts w:ascii="Times New Roman" w:hAnsi="Times New Roman" w:cs="Times New Roman"/>
          <w:sz w:val="24"/>
          <w:szCs w:val="24"/>
        </w:rPr>
        <w:t xml:space="preserve"> utisoles y oxisoles </w:t>
      </w:r>
      <w:r w:rsidR="00F20756" w:rsidRPr="00F20756">
        <w:rPr>
          <w:rFonts w:ascii="Times New Roman" w:hAnsi="Times New Roman" w:cs="Times New Roman"/>
          <w:sz w:val="24"/>
          <w:szCs w:val="24"/>
        </w:rPr>
        <w:t>fueron observados</w:t>
      </w:r>
      <w:r w:rsidRPr="00F20756">
        <w:rPr>
          <w:rFonts w:ascii="Times New Roman" w:hAnsi="Times New Roman" w:cs="Times New Roman"/>
          <w:sz w:val="24"/>
          <w:szCs w:val="24"/>
        </w:rPr>
        <w:t>. Los bosques pertenecen al gran grupo de bosque tropical húmedo siempre verde, muy heterogéneos y densos. Los sistemas cerrados de su ambiente y la poca disponibilidad y movilidad de los elementos nutritivos los hacen muy frágiles frente a las acciones externas.</w:t>
      </w:r>
    </w:p>
    <w:p w14:paraId="1E6604E8" w14:textId="7FB515A8" w:rsidR="00E205E1" w:rsidRDefault="00E205E1" w:rsidP="00F21DF1">
      <w:pPr>
        <w:jc w:val="both"/>
        <w:rPr>
          <w:rFonts w:ascii="Times New Roman" w:hAnsi="Times New Roman" w:cs="Times New Roman"/>
          <w:sz w:val="24"/>
          <w:szCs w:val="24"/>
        </w:rPr>
      </w:pPr>
      <w:r w:rsidRPr="00F20756">
        <w:rPr>
          <w:rFonts w:ascii="Times New Roman" w:hAnsi="Times New Roman" w:cs="Times New Roman"/>
          <w:sz w:val="24"/>
          <w:szCs w:val="24"/>
        </w:rPr>
        <w:t xml:space="preserve">La actividad económicamente fuerte es la minería y en este momento es el motor del comercio y del transporte en la región. La minería es </w:t>
      </w:r>
      <w:r w:rsidR="00F20756" w:rsidRPr="00F20756">
        <w:rPr>
          <w:rFonts w:ascii="Times New Roman" w:hAnsi="Times New Roman" w:cs="Times New Roman"/>
          <w:sz w:val="24"/>
          <w:szCs w:val="24"/>
        </w:rPr>
        <w:t>ejercida en</w:t>
      </w:r>
      <w:r w:rsidRPr="00F20756">
        <w:rPr>
          <w:rFonts w:ascii="Times New Roman" w:hAnsi="Times New Roman" w:cs="Times New Roman"/>
          <w:sz w:val="24"/>
          <w:szCs w:val="24"/>
        </w:rPr>
        <w:t xml:space="preserve"> su mayor parte por colonos colombianos y unos pocos brasileños. Los elevados costos de transporte aíslan la región y sus habitantes </w:t>
      </w:r>
      <w:r w:rsidR="00F20756" w:rsidRPr="00F20756">
        <w:rPr>
          <w:rFonts w:ascii="Times New Roman" w:hAnsi="Times New Roman" w:cs="Times New Roman"/>
          <w:sz w:val="24"/>
          <w:szCs w:val="24"/>
        </w:rPr>
        <w:t>subsisten en</w:t>
      </w:r>
      <w:r w:rsidRPr="00F20756">
        <w:rPr>
          <w:rFonts w:ascii="Times New Roman" w:hAnsi="Times New Roman" w:cs="Times New Roman"/>
          <w:sz w:val="24"/>
          <w:szCs w:val="24"/>
        </w:rPr>
        <w:t xml:space="preserve"> precarias condiciones de </w:t>
      </w:r>
      <w:r w:rsidR="00F20756" w:rsidRPr="00F20756">
        <w:rPr>
          <w:rFonts w:ascii="Times New Roman" w:hAnsi="Times New Roman" w:cs="Times New Roman"/>
          <w:sz w:val="24"/>
          <w:szCs w:val="24"/>
        </w:rPr>
        <w:t>vida. Se</w:t>
      </w:r>
      <w:r w:rsidRPr="00F20756">
        <w:rPr>
          <w:rFonts w:ascii="Times New Roman" w:hAnsi="Times New Roman" w:cs="Times New Roman"/>
          <w:sz w:val="24"/>
          <w:szCs w:val="24"/>
        </w:rPr>
        <w:t xml:space="preserve"> encuentran puestos de Salud asistidos por auxiliares de enfermería, ofreciendo servicios de primer nivel, los de gravedad son remitidos al hospital de Puerto Inírida. La educación se imparte a nivel de básica primaria en los semi - internados e internados de </w:t>
      </w:r>
      <w:r w:rsidR="00F20756" w:rsidRPr="00F20756">
        <w:rPr>
          <w:rFonts w:ascii="Times New Roman" w:hAnsi="Times New Roman" w:cs="Times New Roman"/>
          <w:sz w:val="24"/>
          <w:szCs w:val="24"/>
        </w:rPr>
        <w:t>las comunidades</w:t>
      </w:r>
      <w:r w:rsidRPr="00F20756">
        <w:rPr>
          <w:rFonts w:ascii="Times New Roman" w:hAnsi="Times New Roman" w:cs="Times New Roman"/>
          <w:sz w:val="24"/>
          <w:szCs w:val="24"/>
        </w:rPr>
        <w:t xml:space="preserve">, con serias restricciones en infraestructura, logística y </w:t>
      </w:r>
      <w:r w:rsidR="00F20756" w:rsidRPr="00F20756">
        <w:rPr>
          <w:rFonts w:ascii="Times New Roman" w:hAnsi="Times New Roman" w:cs="Times New Roman"/>
          <w:sz w:val="24"/>
          <w:szCs w:val="24"/>
        </w:rPr>
        <w:t>materiales didácticos</w:t>
      </w:r>
      <w:r w:rsidRPr="00F20756">
        <w:rPr>
          <w:rFonts w:ascii="Times New Roman" w:hAnsi="Times New Roman" w:cs="Times New Roman"/>
          <w:sz w:val="24"/>
          <w:szCs w:val="24"/>
        </w:rPr>
        <w:t>. Casi todos los indígenas viven en caserío (Ver foto Nro. 1)los cuales cuentan con acueducto y energía, pero estos servicios no funcionan por el no suministro de combustibles y repuestos para los motores, la falta de visión y planificación hace que proyectos de electrificación por medio de generación mecánica sean instalados en las comunidades, cuando debería aprovecharse la fuerza hidráulica de los ríos y caños que atraviesan la región prestando un servicio eléctrico permanente y a muy bajo costo.</w:t>
      </w:r>
    </w:p>
    <w:p w14:paraId="15E12097" w14:textId="796365D9" w:rsidR="004E5050" w:rsidRDefault="004E5050" w:rsidP="00F21DF1">
      <w:pPr>
        <w:jc w:val="both"/>
        <w:rPr>
          <w:rFonts w:ascii="Times New Roman" w:hAnsi="Times New Roman" w:cs="Times New Roman"/>
          <w:sz w:val="24"/>
          <w:szCs w:val="24"/>
        </w:rPr>
      </w:pPr>
      <w:r>
        <w:rPr>
          <w:rFonts w:ascii="Times New Roman" w:hAnsi="Times New Roman" w:cs="Times New Roman"/>
          <w:sz w:val="24"/>
          <w:szCs w:val="24"/>
        </w:rPr>
        <w:t xml:space="preserve">Ecosistemas departamento de Guainia </w:t>
      </w:r>
    </w:p>
    <w:p w14:paraId="44CECD06" w14:textId="4A9FE35B" w:rsidR="004E5050" w:rsidRDefault="004E5050" w:rsidP="00F21DF1">
      <w:pPr>
        <w:jc w:val="both"/>
        <w:rPr>
          <w:rFonts w:ascii="Times New Roman" w:hAnsi="Times New Roman" w:cs="Times New Roman"/>
          <w:sz w:val="24"/>
          <w:szCs w:val="24"/>
        </w:rPr>
      </w:pPr>
      <w:r w:rsidRPr="004E5050">
        <w:rPr>
          <w:rFonts w:ascii="Times New Roman" w:hAnsi="Times New Roman" w:cs="Times New Roman"/>
          <w:sz w:val="24"/>
          <w:szCs w:val="24"/>
        </w:rPr>
        <w:lastRenderedPageBreak/>
        <w:drawing>
          <wp:inline distT="0" distB="0" distL="0" distR="0" wp14:anchorId="72E1E49C" wp14:editId="680F2C20">
            <wp:extent cx="5612130" cy="3826510"/>
            <wp:effectExtent l="0" t="0" r="762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3826510"/>
                    </a:xfrm>
                    <a:prstGeom prst="rect">
                      <a:avLst/>
                    </a:prstGeom>
                  </pic:spPr>
                </pic:pic>
              </a:graphicData>
            </a:graphic>
          </wp:inline>
        </w:drawing>
      </w:r>
    </w:p>
    <w:p w14:paraId="4DD21CB7" w14:textId="07D74B8B" w:rsidR="004E5050" w:rsidRPr="004E5050" w:rsidRDefault="004E5050" w:rsidP="004E5050">
      <w:pPr>
        <w:jc w:val="both"/>
        <w:rPr>
          <w:rFonts w:ascii="Times New Roman" w:hAnsi="Times New Roman" w:cs="Times New Roman"/>
          <w:sz w:val="24"/>
          <w:szCs w:val="24"/>
        </w:rPr>
      </w:pPr>
      <w:r w:rsidRPr="004E5050">
        <w:rPr>
          <w:rFonts w:ascii="Times New Roman" w:hAnsi="Times New Roman" w:cs="Times New Roman"/>
          <w:sz w:val="24"/>
          <w:szCs w:val="24"/>
        </w:rPr>
        <w:t>Tradicionalmente se ha explotado el Oro en el río Inírida, jurisdicción municipal,</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utilizando dragas, que sacan la arena del fondo de los ríos para separar el mineral</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de otros elementos, por medio de procesos físicos y químicos. Se construyen</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campamentos de mineros a orillas del río, en territorios de resguardos indígenas, los</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 xml:space="preserve">cuales sirven de albergue y </w:t>
      </w:r>
      <w:proofErr w:type="spellStart"/>
      <w:r w:rsidRPr="004E5050">
        <w:rPr>
          <w:rFonts w:ascii="Times New Roman" w:hAnsi="Times New Roman" w:cs="Times New Roman"/>
          <w:sz w:val="24"/>
          <w:szCs w:val="24"/>
        </w:rPr>
        <w:t>deposito</w:t>
      </w:r>
      <w:proofErr w:type="spellEnd"/>
      <w:r w:rsidRPr="004E5050">
        <w:rPr>
          <w:rFonts w:ascii="Times New Roman" w:hAnsi="Times New Roman" w:cs="Times New Roman"/>
          <w:sz w:val="24"/>
          <w:szCs w:val="24"/>
        </w:rPr>
        <w:t xml:space="preserve"> de elementos, durante la época de explotación.</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La extracción de oro genera gran impacto ambiental en dos sentidos: Afecta el lecho</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del río, disminuyendo los nutrientes que conforman la base alimentaria de los peces,</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obligándolos a migrar en busca de alimento, lo cual disminuye la pesca. Por otra</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parte, la</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utilización del mercurio como azogue para separar el metal de la arena y la</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posterior quema del mercurio, genera una peligrosa contaminación de las aguas y</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del ambiente, generando riesgo de contaminación de peces, de quienes los</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consumen a la vez que trae consecuencias negativas para la salud de las</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poblaciones cercanas que consumen las aguas para la elaboración de sus alimentos</w:t>
      </w:r>
      <w:r w:rsidRPr="004E5050">
        <w:rPr>
          <w:rFonts w:ascii="Times New Roman" w:hAnsi="Times New Roman" w:cs="Times New Roman"/>
          <w:sz w:val="24"/>
          <w:szCs w:val="24"/>
        </w:rPr>
        <w:t xml:space="preserve"> </w:t>
      </w:r>
      <w:r w:rsidRPr="004E5050">
        <w:rPr>
          <w:rFonts w:ascii="Times New Roman" w:hAnsi="Times New Roman" w:cs="Times New Roman"/>
          <w:sz w:val="24"/>
          <w:szCs w:val="24"/>
        </w:rPr>
        <w:t>y la utilizan para el aseo personal y el lavado de ropas e implementos de cocina”</w:t>
      </w:r>
    </w:p>
    <w:p w14:paraId="231BABF3" w14:textId="43DCE6D3" w:rsidR="004E5050" w:rsidRDefault="00622AFA" w:rsidP="00F21DF1">
      <w:pPr>
        <w:jc w:val="both"/>
        <w:rPr>
          <w:rFonts w:ascii="Times New Roman" w:hAnsi="Times New Roman" w:cs="Times New Roman"/>
          <w:sz w:val="24"/>
          <w:szCs w:val="24"/>
        </w:rPr>
      </w:pPr>
      <w:r>
        <w:rPr>
          <w:rFonts w:ascii="Times New Roman" w:hAnsi="Times New Roman" w:cs="Times New Roman"/>
          <w:sz w:val="24"/>
          <w:szCs w:val="24"/>
        </w:rPr>
        <w:t>a</w:t>
      </w:r>
      <w:r w:rsidRPr="00622AFA">
        <w:rPr>
          <w:rFonts w:ascii="Times New Roman" w:hAnsi="Times New Roman" w:cs="Times New Roman"/>
          <w:sz w:val="24"/>
          <w:szCs w:val="24"/>
        </w:rPr>
        <w:t>ctividad minera área de jurisdicción</w:t>
      </w:r>
    </w:p>
    <w:p w14:paraId="0EF0C372" w14:textId="07679E80" w:rsidR="00622AFA" w:rsidRDefault="00622AFA" w:rsidP="00F21DF1">
      <w:pPr>
        <w:jc w:val="both"/>
        <w:rPr>
          <w:rFonts w:ascii="Times New Roman" w:hAnsi="Times New Roman" w:cs="Times New Roman"/>
          <w:sz w:val="24"/>
          <w:szCs w:val="24"/>
        </w:rPr>
      </w:pPr>
      <w:r w:rsidRPr="00622AFA">
        <w:rPr>
          <w:rFonts w:ascii="Times New Roman" w:hAnsi="Times New Roman" w:cs="Times New Roman"/>
          <w:sz w:val="24"/>
          <w:szCs w:val="24"/>
        </w:rPr>
        <w:lastRenderedPageBreak/>
        <w:drawing>
          <wp:inline distT="0" distB="0" distL="0" distR="0" wp14:anchorId="2D383818" wp14:editId="60CCAEE8">
            <wp:extent cx="5268060" cy="4429743"/>
            <wp:effectExtent l="0" t="0" r="889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68060" cy="4429743"/>
                    </a:xfrm>
                    <a:prstGeom prst="rect">
                      <a:avLst/>
                    </a:prstGeom>
                  </pic:spPr>
                </pic:pic>
              </a:graphicData>
            </a:graphic>
          </wp:inline>
        </w:drawing>
      </w:r>
    </w:p>
    <w:p w14:paraId="78C500E2" w14:textId="15A547B2" w:rsidR="00CD4782" w:rsidRPr="00F20756" w:rsidRDefault="00CD4782" w:rsidP="00CD4782">
      <w:pPr>
        <w:jc w:val="both"/>
        <w:rPr>
          <w:rFonts w:ascii="Times New Roman" w:hAnsi="Times New Roman" w:cs="Times New Roman"/>
          <w:sz w:val="24"/>
          <w:szCs w:val="24"/>
        </w:rPr>
      </w:pPr>
      <w:r w:rsidRPr="00CD4782">
        <w:rPr>
          <w:rFonts w:ascii="Times New Roman" w:hAnsi="Times New Roman" w:cs="Times New Roman"/>
          <w:sz w:val="24"/>
          <w:szCs w:val="24"/>
        </w:rPr>
        <w:t>El mercurio puede llegar a los animales por diferentes caminos: a los peces por vía</w:t>
      </w:r>
      <w:r>
        <w:rPr>
          <w:rFonts w:ascii="Times New Roman" w:hAnsi="Times New Roman" w:cs="Times New Roman"/>
          <w:sz w:val="24"/>
          <w:szCs w:val="24"/>
        </w:rPr>
        <w:t xml:space="preserve"> </w:t>
      </w:r>
      <w:r w:rsidRPr="00CD4782">
        <w:rPr>
          <w:rFonts w:ascii="Times New Roman" w:hAnsi="Times New Roman" w:cs="Times New Roman"/>
          <w:sz w:val="24"/>
          <w:szCs w:val="24"/>
        </w:rPr>
        <w:t>acuática, a otros animales terrestres por medio de alimentos, los cuales en el</w:t>
      </w:r>
      <w:r>
        <w:rPr>
          <w:rFonts w:ascii="Times New Roman" w:hAnsi="Times New Roman" w:cs="Times New Roman"/>
          <w:sz w:val="24"/>
          <w:szCs w:val="24"/>
        </w:rPr>
        <w:t xml:space="preserve"> </w:t>
      </w:r>
      <w:r w:rsidRPr="00CD4782">
        <w:rPr>
          <w:rFonts w:ascii="Times New Roman" w:hAnsi="Times New Roman" w:cs="Times New Roman"/>
          <w:sz w:val="24"/>
          <w:szCs w:val="24"/>
        </w:rPr>
        <w:t>momento de cultivo fueron regados con algún fungicida organomercurial.</w:t>
      </w:r>
      <w:r>
        <w:rPr>
          <w:rFonts w:ascii="Times New Roman" w:hAnsi="Times New Roman" w:cs="Times New Roman"/>
          <w:sz w:val="24"/>
          <w:szCs w:val="24"/>
        </w:rPr>
        <w:t xml:space="preserve"> </w:t>
      </w:r>
      <w:r w:rsidRPr="00CD4782">
        <w:rPr>
          <w:rFonts w:ascii="Times New Roman" w:hAnsi="Times New Roman" w:cs="Times New Roman"/>
          <w:sz w:val="24"/>
          <w:szCs w:val="24"/>
        </w:rPr>
        <w:t>Este elemento se deposita tanto en la fauna del fondo marino en las cuales forma el</w:t>
      </w:r>
      <w:r>
        <w:rPr>
          <w:rFonts w:ascii="Times New Roman" w:hAnsi="Times New Roman" w:cs="Times New Roman"/>
          <w:sz w:val="24"/>
          <w:szCs w:val="24"/>
        </w:rPr>
        <w:t xml:space="preserve"> </w:t>
      </w:r>
      <w:r w:rsidRPr="00CD4782">
        <w:rPr>
          <w:rFonts w:ascii="Times New Roman" w:hAnsi="Times New Roman" w:cs="Times New Roman"/>
          <w:sz w:val="24"/>
          <w:szCs w:val="24"/>
        </w:rPr>
        <w:t>metilmercurio como en la fauna profunda, incluido el plancton, seguida por la</w:t>
      </w:r>
      <w:r>
        <w:rPr>
          <w:rFonts w:ascii="Times New Roman" w:hAnsi="Times New Roman" w:cs="Times New Roman"/>
          <w:sz w:val="24"/>
          <w:szCs w:val="24"/>
        </w:rPr>
        <w:t xml:space="preserve"> </w:t>
      </w:r>
      <w:r w:rsidRPr="00CD4782">
        <w:rPr>
          <w:rFonts w:ascii="Times New Roman" w:hAnsi="Times New Roman" w:cs="Times New Roman"/>
          <w:sz w:val="24"/>
          <w:szCs w:val="24"/>
        </w:rPr>
        <w:t>acumulación de especies como el rubio, y finalmente se aloja en los grandes peces</w:t>
      </w:r>
      <w:r>
        <w:rPr>
          <w:rFonts w:ascii="Times New Roman" w:hAnsi="Times New Roman" w:cs="Times New Roman"/>
          <w:sz w:val="24"/>
          <w:szCs w:val="24"/>
        </w:rPr>
        <w:t xml:space="preserve"> </w:t>
      </w:r>
      <w:r w:rsidRPr="00CD4782">
        <w:rPr>
          <w:rFonts w:ascii="Times New Roman" w:hAnsi="Times New Roman" w:cs="Times New Roman"/>
          <w:sz w:val="24"/>
          <w:szCs w:val="24"/>
        </w:rPr>
        <w:t>carnívoros.  Se afirma que a medida que el nivel trófico del pez aumenta, igualmente</w:t>
      </w:r>
      <w:r>
        <w:rPr>
          <w:rFonts w:ascii="Times New Roman" w:hAnsi="Times New Roman" w:cs="Times New Roman"/>
          <w:sz w:val="24"/>
          <w:szCs w:val="24"/>
        </w:rPr>
        <w:t xml:space="preserve"> </w:t>
      </w:r>
      <w:r w:rsidRPr="00CD4782">
        <w:rPr>
          <w:rFonts w:ascii="Times New Roman" w:hAnsi="Times New Roman" w:cs="Times New Roman"/>
          <w:sz w:val="24"/>
          <w:szCs w:val="24"/>
        </w:rPr>
        <w:t>se incrementa la ingestión del mercurio proveniente de los alimentos, aunque la</w:t>
      </w:r>
      <w:r>
        <w:rPr>
          <w:rFonts w:ascii="Times New Roman" w:hAnsi="Times New Roman" w:cs="Times New Roman"/>
          <w:sz w:val="24"/>
          <w:szCs w:val="24"/>
        </w:rPr>
        <w:t xml:space="preserve"> </w:t>
      </w:r>
      <w:r w:rsidRPr="00CD4782">
        <w:rPr>
          <w:rFonts w:ascii="Times New Roman" w:hAnsi="Times New Roman" w:cs="Times New Roman"/>
          <w:sz w:val="24"/>
          <w:szCs w:val="24"/>
        </w:rPr>
        <w:t>absorción principal que se lleva a cabo es por las branquias</w:t>
      </w:r>
    </w:p>
    <w:p w14:paraId="3827F043" w14:textId="77777777" w:rsidR="00E205E1" w:rsidRPr="00F20756" w:rsidRDefault="00E205E1" w:rsidP="00E205E1">
      <w:pPr>
        <w:spacing w:after="0" w:line="240" w:lineRule="auto"/>
        <w:rPr>
          <w:rFonts w:ascii="Times New Roman" w:eastAsia="Times New Roman" w:hAnsi="Times New Roman" w:cs="Times New Roman"/>
          <w:b/>
          <w:bCs/>
          <w:sz w:val="24"/>
          <w:szCs w:val="24"/>
          <w:lang w:eastAsia="es-MX"/>
        </w:rPr>
      </w:pPr>
      <w:r w:rsidRPr="00F20756">
        <w:rPr>
          <w:rFonts w:ascii="Times New Roman" w:eastAsia="Times New Roman" w:hAnsi="Times New Roman" w:cs="Times New Roman"/>
          <w:b/>
          <w:bCs/>
          <w:sz w:val="24"/>
          <w:szCs w:val="24"/>
          <w:lang w:eastAsia="es-MX"/>
        </w:rPr>
        <w:t>PUNTOS DE INTERÉS Y CONFLICTIVIDAD</w:t>
      </w:r>
    </w:p>
    <w:p w14:paraId="6F391586" w14:textId="77777777" w:rsidR="00E205E1" w:rsidRPr="00F20756" w:rsidRDefault="00E205E1" w:rsidP="00E205E1">
      <w:pPr>
        <w:spacing w:after="0" w:line="240" w:lineRule="auto"/>
        <w:rPr>
          <w:rFonts w:ascii="Times New Roman" w:eastAsia="Times New Roman" w:hAnsi="Times New Roman" w:cs="Times New Roman"/>
          <w:b/>
          <w:bCs/>
          <w:sz w:val="24"/>
          <w:szCs w:val="24"/>
          <w:lang w:eastAsia="es-MX"/>
        </w:rPr>
      </w:pPr>
    </w:p>
    <w:p w14:paraId="7BFBB80D" w14:textId="77777777" w:rsidR="00E205E1" w:rsidRPr="00F20756" w:rsidRDefault="00E205E1" w:rsidP="00E205E1">
      <w:pPr>
        <w:numPr>
          <w:ilvl w:val="0"/>
          <w:numId w:val="4"/>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Zonas de Extracción Sin Título</w:t>
      </w:r>
      <w:r w:rsidRPr="00F20756">
        <w:rPr>
          <w:rFonts w:ascii="Times New Roman" w:eastAsia="Times New Roman" w:hAnsi="Times New Roman" w:cs="Times New Roman"/>
          <w:sz w:val="24"/>
          <w:szCs w:val="24"/>
          <w:lang w:eastAsia="es-MX"/>
        </w:rPr>
        <w:t>: Los playones y lechos circundantes a la zona rural de Inírida operan bajo dinámicas de hecho, evadiendo el trámite de contratos de concesión y el Registro Minero Nacional</w:t>
      </w:r>
    </w:p>
    <w:p w14:paraId="02D0CD07"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1F56343A" w14:textId="77777777" w:rsidR="00E205E1" w:rsidRPr="00F20756" w:rsidRDefault="00E205E1" w:rsidP="00E205E1">
      <w:pPr>
        <w:numPr>
          <w:ilvl w:val="0"/>
          <w:numId w:val="4"/>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Omisión de Consulta Previa</w:t>
      </w:r>
      <w:r w:rsidRPr="00F20756">
        <w:rPr>
          <w:rFonts w:ascii="Times New Roman" w:eastAsia="Times New Roman" w:hAnsi="Times New Roman" w:cs="Times New Roman"/>
          <w:sz w:val="24"/>
          <w:szCs w:val="24"/>
          <w:lang w:eastAsia="es-MX"/>
        </w:rPr>
        <w:t>: La extracción se ejecuta dentro o en la periferia de los resguardos (como Remanso-Chorrobocón), (coco-coayare) (resguardo rio atabapo) sin haber surtido los procesos obligatorios de Consentimiento Previo, Libre e Informado o tramites de títulos mineros con licencia para explotación.</w:t>
      </w:r>
    </w:p>
    <w:p w14:paraId="491E4EC4"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sz w:val="24"/>
          <w:szCs w:val="24"/>
          <w:lang w:eastAsia="es-MX"/>
        </w:rPr>
        <w:t xml:space="preserve"> </w:t>
      </w:r>
    </w:p>
    <w:p w14:paraId="2AC0A0CD" w14:textId="77777777" w:rsidR="00E205E1" w:rsidRPr="00F20756" w:rsidRDefault="00E205E1" w:rsidP="00E205E1">
      <w:pPr>
        <w:numPr>
          <w:ilvl w:val="0"/>
          <w:numId w:val="4"/>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lastRenderedPageBreak/>
        <w:t>Asimetría del Negocio</w:t>
      </w:r>
      <w:r w:rsidRPr="00F20756">
        <w:rPr>
          <w:rFonts w:ascii="Times New Roman" w:eastAsia="Times New Roman" w:hAnsi="Times New Roman" w:cs="Times New Roman"/>
          <w:sz w:val="24"/>
          <w:szCs w:val="24"/>
          <w:lang w:eastAsia="es-MX"/>
        </w:rPr>
        <w:t>: Las ganancias económicas del material extraído son captadas por constructores y transportadores urbanos de Inírida, mientras que los pasivos ambientales y de salud pública son asumidos exclusivamente por las comunidades indígenas ribereñas.</w:t>
      </w:r>
    </w:p>
    <w:p w14:paraId="3AE5AC05" w14:textId="77777777" w:rsidR="00E205E1" w:rsidRPr="00F20756" w:rsidRDefault="00E205E1" w:rsidP="00E205E1">
      <w:pPr>
        <w:spacing w:after="0" w:line="240" w:lineRule="auto"/>
        <w:rPr>
          <w:rFonts w:ascii="Times New Roman" w:eastAsia="Times New Roman" w:hAnsi="Times New Roman" w:cs="Times New Roman"/>
          <w:b/>
          <w:bCs/>
          <w:sz w:val="24"/>
          <w:szCs w:val="24"/>
          <w:lang w:eastAsia="es-MX"/>
        </w:rPr>
      </w:pPr>
    </w:p>
    <w:p w14:paraId="1805039A" w14:textId="77777777" w:rsidR="00E205E1" w:rsidRPr="00F20756" w:rsidRDefault="00E205E1" w:rsidP="00E205E1">
      <w:pPr>
        <w:spacing w:after="0" w:line="240" w:lineRule="auto"/>
        <w:rPr>
          <w:rFonts w:ascii="Times New Roman" w:eastAsia="Times New Roman" w:hAnsi="Times New Roman" w:cs="Times New Roman"/>
          <w:b/>
          <w:bCs/>
          <w:sz w:val="24"/>
          <w:szCs w:val="24"/>
          <w:lang w:eastAsia="es-MX"/>
        </w:rPr>
      </w:pPr>
      <w:r w:rsidRPr="00F20756">
        <w:rPr>
          <w:rFonts w:ascii="Times New Roman" w:eastAsia="Times New Roman" w:hAnsi="Times New Roman" w:cs="Times New Roman"/>
          <w:b/>
          <w:bCs/>
          <w:sz w:val="24"/>
          <w:szCs w:val="24"/>
          <w:lang w:eastAsia="es-MX"/>
        </w:rPr>
        <w:t>7. ACCIONES DE CONCURRENCIA</w:t>
      </w:r>
    </w:p>
    <w:p w14:paraId="1367DEE0" w14:textId="77777777" w:rsidR="00E205E1" w:rsidRPr="00F20756" w:rsidRDefault="00E205E1" w:rsidP="00E205E1">
      <w:pPr>
        <w:spacing w:after="0" w:line="240" w:lineRule="auto"/>
        <w:rPr>
          <w:rFonts w:ascii="Times New Roman" w:eastAsia="Times New Roman" w:hAnsi="Times New Roman" w:cs="Times New Roman"/>
          <w:b/>
          <w:bCs/>
          <w:sz w:val="24"/>
          <w:szCs w:val="24"/>
          <w:lang w:eastAsia="es-MX"/>
        </w:rPr>
      </w:pPr>
    </w:p>
    <w:p w14:paraId="12DDE622" w14:textId="77777777" w:rsidR="00E205E1" w:rsidRPr="00F20756" w:rsidRDefault="00E205E1" w:rsidP="00E205E1">
      <w:pPr>
        <w:spacing w:after="0" w:line="240" w:lineRule="auto"/>
        <w:rPr>
          <w:rFonts w:ascii="Times New Roman" w:eastAsia="Times New Roman" w:hAnsi="Times New Roman" w:cs="Times New Roman"/>
          <w:sz w:val="24"/>
          <w:szCs w:val="24"/>
          <w:lang w:eastAsia="es-MX"/>
        </w:rPr>
      </w:pPr>
      <w:r w:rsidRPr="00F20756">
        <w:rPr>
          <w:rFonts w:ascii="Times New Roman" w:eastAsia="Times New Roman" w:hAnsi="Times New Roman" w:cs="Times New Roman"/>
          <w:sz w:val="24"/>
          <w:szCs w:val="24"/>
          <w:lang w:eastAsia="es-MX"/>
        </w:rPr>
        <w:t>En el espacio geográfico rural de Inírida confluyen simultáneamente múltiples variables y figuras jurídicas contrapuestas:</w:t>
      </w:r>
    </w:p>
    <w:p w14:paraId="65D26703" w14:textId="77777777" w:rsidR="00E205E1" w:rsidRPr="00F20756" w:rsidRDefault="00E205E1" w:rsidP="00E205E1">
      <w:pPr>
        <w:spacing w:after="0" w:line="240" w:lineRule="auto"/>
        <w:rPr>
          <w:rFonts w:ascii="Times New Roman" w:eastAsia="Times New Roman" w:hAnsi="Times New Roman" w:cs="Times New Roman"/>
          <w:sz w:val="24"/>
          <w:szCs w:val="24"/>
          <w:lang w:eastAsia="es-MX"/>
        </w:rPr>
      </w:pPr>
    </w:p>
    <w:p w14:paraId="53C6D4ED" w14:textId="77777777" w:rsidR="00E205E1" w:rsidRPr="00F20756" w:rsidRDefault="00E205E1" w:rsidP="00E205E1">
      <w:pPr>
        <w:numPr>
          <w:ilvl w:val="0"/>
          <w:numId w:val="5"/>
        </w:numPr>
        <w:spacing w:after="0" w:line="240" w:lineRule="auto"/>
        <w:ind w:left="0"/>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Traslape Territorial Colectivo</w:t>
      </w:r>
      <w:r w:rsidRPr="00F20756">
        <w:rPr>
          <w:rFonts w:ascii="Times New Roman" w:eastAsia="Times New Roman" w:hAnsi="Times New Roman" w:cs="Times New Roman"/>
          <w:sz w:val="24"/>
          <w:szCs w:val="24"/>
          <w:lang w:eastAsia="es-MX"/>
        </w:rPr>
        <w:t>: Coexistencia de los títulos de propiedad colectiva de los resguardos con las zonas de Reserva Forestal de la Ley 2 de 1959 y áreas adyacentes a la Reserva Nacional Natural Puinawai.</w:t>
      </w:r>
    </w:p>
    <w:p w14:paraId="0DE36516" w14:textId="77777777" w:rsidR="00E205E1" w:rsidRPr="00F20756" w:rsidRDefault="00E205E1" w:rsidP="00E205E1">
      <w:pPr>
        <w:spacing w:after="0" w:line="240" w:lineRule="auto"/>
        <w:rPr>
          <w:rFonts w:ascii="Times New Roman" w:eastAsia="Times New Roman" w:hAnsi="Times New Roman" w:cs="Times New Roman"/>
          <w:sz w:val="24"/>
          <w:szCs w:val="24"/>
          <w:lang w:eastAsia="es-MX"/>
        </w:rPr>
      </w:pPr>
    </w:p>
    <w:p w14:paraId="67A9C06D" w14:textId="77777777" w:rsidR="00E205E1" w:rsidRPr="00F20756" w:rsidRDefault="00E205E1" w:rsidP="00E205E1">
      <w:pPr>
        <w:numPr>
          <w:ilvl w:val="0"/>
          <w:numId w:val="5"/>
        </w:numPr>
        <w:spacing w:after="0" w:line="240" w:lineRule="auto"/>
        <w:ind w:left="0"/>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Concurrencia Institucional Crítica</w:t>
      </w:r>
      <w:r w:rsidRPr="00F20756">
        <w:rPr>
          <w:rFonts w:ascii="Times New Roman" w:eastAsia="Times New Roman" w:hAnsi="Times New Roman" w:cs="Times New Roman"/>
          <w:sz w:val="24"/>
          <w:szCs w:val="24"/>
          <w:lang w:eastAsia="es-MX"/>
        </w:rPr>
        <w:t>: Cruce de competencias de fiscalización policiva entre la Armada Nacional (control fluvial), la CDA (autoridad ambiental local), la Agencia Nacional de Minería (ANM) y el Ministerio del Interior (asuntos étnicos).</w:t>
      </w:r>
    </w:p>
    <w:p w14:paraId="764801B7" w14:textId="77777777" w:rsidR="00E205E1" w:rsidRPr="00F20756" w:rsidRDefault="00E205E1" w:rsidP="00E205E1">
      <w:pPr>
        <w:spacing w:after="0" w:line="240" w:lineRule="auto"/>
        <w:rPr>
          <w:rFonts w:ascii="Times New Roman" w:eastAsia="Times New Roman" w:hAnsi="Times New Roman" w:cs="Times New Roman"/>
          <w:sz w:val="24"/>
          <w:szCs w:val="24"/>
          <w:lang w:eastAsia="es-MX"/>
        </w:rPr>
      </w:pPr>
    </w:p>
    <w:p w14:paraId="4376CDCE" w14:textId="77777777" w:rsidR="00E205E1" w:rsidRPr="00F20756" w:rsidRDefault="00E205E1" w:rsidP="00E205E1">
      <w:pPr>
        <w:numPr>
          <w:ilvl w:val="0"/>
          <w:numId w:val="5"/>
        </w:numPr>
        <w:spacing w:after="0" w:line="240" w:lineRule="auto"/>
        <w:ind w:left="0"/>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Litigios y Amparos Judiciales</w:t>
      </w:r>
      <w:r w:rsidRPr="00F20756">
        <w:rPr>
          <w:rFonts w:ascii="Times New Roman" w:eastAsia="Times New Roman" w:hAnsi="Times New Roman" w:cs="Times New Roman"/>
          <w:sz w:val="24"/>
          <w:szCs w:val="24"/>
          <w:lang w:eastAsia="es-MX"/>
        </w:rPr>
        <w:t>: Activación de acciones de tutela ante los jueces de la República debido a la afectación directa a la seguridad alimentaria (pérdida de pescado) causada por la minería ilegal inconsulta.</w:t>
      </w:r>
    </w:p>
    <w:p w14:paraId="3FC22949" w14:textId="77777777" w:rsidR="00E205E1" w:rsidRPr="00F20756" w:rsidRDefault="00E205E1" w:rsidP="00E205E1">
      <w:pPr>
        <w:spacing w:before="480" w:after="0" w:line="240" w:lineRule="auto"/>
        <w:rPr>
          <w:rFonts w:ascii="Times New Roman" w:eastAsia="Times New Roman" w:hAnsi="Times New Roman" w:cs="Times New Roman"/>
          <w:sz w:val="24"/>
          <w:szCs w:val="24"/>
          <w:lang w:eastAsia="es-MX"/>
        </w:rPr>
      </w:pPr>
    </w:p>
    <w:p w14:paraId="16B69A02" w14:textId="77777777" w:rsidR="00E205E1" w:rsidRPr="00F20756" w:rsidRDefault="00E205E1" w:rsidP="00E205E1">
      <w:pPr>
        <w:spacing w:after="0" w:line="240" w:lineRule="auto"/>
        <w:jc w:val="both"/>
        <w:rPr>
          <w:rFonts w:ascii="Times New Roman" w:eastAsia="Times New Roman" w:hAnsi="Times New Roman" w:cs="Times New Roman"/>
          <w:b/>
          <w:bCs/>
          <w:sz w:val="24"/>
          <w:szCs w:val="24"/>
          <w:lang w:eastAsia="es-MX"/>
        </w:rPr>
      </w:pPr>
      <w:r w:rsidRPr="00F20756">
        <w:rPr>
          <w:rFonts w:ascii="Times New Roman" w:eastAsia="Times New Roman" w:hAnsi="Times New Roman" w:cs="Times New Roman"/>
          <w:b/>
          <w:bCs/>
          <w:sz w:val="24"/>
          <w:szCs w:val="24"/>
          <w:lang w:eastAsia="es-MX"/>
        </w:rPr>
        <w:t>8. VARIABLES DE CONCURRENCIA APLICADAS AL MONITOREO</w:t>
      </w:r>
    </w:p>
    <w:p w14:paraId="763EF2F3" w14:textId="77777777" w:rsidR="00E205E1" w:rsidRPr="00F20756" w:rsidRDefault="00E205E1" w:rsidP="00E205E1">
      <w:pPr>
        <w:spacing w:after="0" w:line="240" w:lineRule="auto"/>
        <w:jc w:val="both"/>
        <w:rPr>
          <w:rFonts w:ascii="Times New Roman" w:eastAsia="Times New Roman" w:hAnsi="Times New Roman" w:cs="Times New Roman"/>
          <w:b/>
          <w:bCs/>
          <w:sz w:val="24"/>
          <w:szCs w:val="24"/>
          <w:lang w:eastAsia="es-MX"/>
        </w:rPr>
      </w:pPr>
    </w:p>
    <w:p w14:paraId="67FB4544"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sz w:val="24"/>
          <w:szCs w:val="24"/>
          <w:lang w:eastAsia="es-MX"/>
        </w:rPr>
        <w:t>Para fiscalizar, controlar y evaluar científicamente los impactos de la minería de arenas y gravas, se estructuran las siguientes variables analíticas que deben integrarse a un sistema integral de monitoreo comunitario e institucional:</w:t>
      </w:r>
    </w:p>
    <w:p w14:paraId="2D9D3E9C"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0477B8A6" w14:textId="77777777" w:rsidR="00E205E1" w:rsidRPr="00F20756" w:rsidRDefault="00E205E1" w:rsidP="00E205E1">
      <w:pPr>
        <w:spacing w:after="0" w:line="240" w:lineRule="auto"/>
        <w:jc w:val="both"/>
        <w:rPr>
          <w:rFonts w:ascii="Times New Roman" w:eastAsia="Times New Roman" w:hAnsi="Times New Roman" w:cs="Times New Roman"/>
          <w:b/>
          <w:bCs/>
          <w:sz w:val="24"/>
          <w:szCs w:val="24"/>
          <w:lang w:eastAsia="es-MX"/>
        </w:rPr>
      </w:pPr>
      <w:r w:rsidRPr="00F20756">
        <w:rPr>
          <w:rFonts w:ascii="Times New Roman" w:eastAsia="Times New Roman" w:hAnsi="Times New Roman" w:cs="Times New Roman"/>
          <w:b/>
          <w:bCs/>
          <w:sz w:val="24"/>
          <w:szCs w:val="24"/>
          <w:lang w:eastAsia="es-MX"/>
        </w:rPr>
        <w:t>A. Variables Físico-Ambientales Críticas</w:t>
      </w:r>
    </w:p>
    <w:p w14:paraId="7FF360D6" w14:textId="77777777" w:rsidR="00E205E1" w:rsidRPr="00F20756" w:rsidRDefault="00E205E1" w:rsidP="00E205E1">
      <w:pPr>
        <w:spacing w:after="0" w:line="240" w:lineRule="auto"/>
        <w:jc w:val="both"/>
        <w:rPr>
          <w:rFonts w:ascii="Times New Roman" w:eastAsia="Times New Roman" w:hAnsi="Times New Roman" w:cs="Times New Roman"/>
          <w:b/>
          <w:bCs/>
          <w:sz w:val="24"/>
          <w:szCs w:val="24"/>
          <w:lang w:eastAsia="es-MX"/>
        </w:rPr>
      </w:pPr>
    </w:p>
    <w:p w14:paraId="36D6FC36" w14:textId="77777777" w:rsidR="00E205E1" w:rsidRPr="00F20756" w:rsidRDefault="00E205E1" w:rsidP="00E205E1">
      <w:pPr>
        <w:numPr>
          <w:ilvl w:val="0"/>
          <w:numId w:val="6"/>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Nivel de Turbidez del Agua (NTU)</w:t>
      </w:r>
      <w:r w:rsidRPr="00F20756">
        <w:rPr>
          <w:rFonts w:ascii="Times New Roman" w:eastAsia="Times New Roman" w:hAnsi="Times New Roman" w:cs="Times New Roman"/>
          <w:sz w:val="24"/>
          <w:szCs w:val="24"/>
          <w:lang w:eastAsia="es-MX"/>
        </w:rPr>
        <w:t>: Medición técnica del aumento de sólidos suspendidos en el agua aguas abajo de las dragas. El monitoreo continuo de esta variable permite cuantificar el alcance de la pluma de sedimentación que bloquea la luz solar y asfixia las branquias de los peces.</w:t>
      </w:r>
    </w:p>
    <w:p w14:paraId="709670DE"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5674D8E7" w14:textId="77777777" w:rsidR="00E205E1" w:rsidRPr="00F20756" w:rsidRDefault="00E205E1" w:rsidP="00E205E1">
      <w:pPr>
        <w:numPr>
          <w:ilvl w:val="0"/>
          <w:numId w:val="6"/>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Densidad de Dragas Tipo Balsa por Kilómetro Lineal</w:t>
      </w:r>
      <w:r w:rsidRPr="00F20756">
        <w:rPr>
          <w:rFonts w:ascii="Times New Roman" w:eastAsia="Times New Roman" w:hAnsi="Times New Roman" w:cs="Times New Roman"/>
          <w:sz w:val="24"/>
          <w:szCs w:val="24"/>
          <w:lang w:eastAsia="es-MX"/>
        </w:rPr>
        <w:t>: Conteo cartográfico y georreferenciado del número de plataformas de succión operando simultáneamente en el cauce del río.</w:t>
      </w:r>
    </w:p>
    <w:p w14:paraId="5BB1F141"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54813490" w14:textId="77777777" w:rsidR="00E205E1" w:rsidRPr="00F20756" w:rsidRDefault="00E205E1" w:rsidP="00E205E1">
      <w:pPr>
        <w:numPr>
          <w:ilvl w:val="0"/>
          <w:numId w:val="6"/>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Tasa de Erosión Ribereña (Metros/Año)</w:t>
      </w:r>
      <w:r w:rsidRPr="00F20756">
        <w:rPr>
          <w:rFonts w:ascii="Times New Roman" w:eastAsia="Times New Roman" w:hAnsi="Times New Roman" w:cs="Times New Roman"/>
          <w:sz w:val="24"/>
          <w:szCs w:val="24"/>
          <w:lang w:eastAsia="es-MX"/>
        </w:rPr>
        <w:t>: Medición del retroceso de las bancas del río adyacentes a los puntos de dragado hidromecánico.</w:t>
      </w:r>
    </w:p>
    <w:p w14:paraId="7BCA4C01"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1AD2BE72" w14:textId="77777777" w:rsidR="00E205E1" w:rsidRPr="00F20756" w:rsidRDefault="00E205E1" w:rsidP="00E205E1">
      <w:pPr>
        <w:spacing w:after="0" w:line="240" w:lineRule="auto"/>
        <w:jc w:val="both"/>
        <w:rPr>
          <w:rFonts w:ascii="Times New Roman" w:eastAsia="Times New Roman" w:hAnsi="Times New Roman" w:cs="Times New Roman"/>
          <w:b/>
          <w:bCs/>
          <w:sz w:val="24"/>
          <w:szCs w:val="24"/>
          <w:lang w:eastAsia="es-MX"/>
        </w:rPr>
      </w:pPr>
      <w:r w:rsidRPr="00F20756">
        <w:rPr>
          <w:rFonts w:ascii="Times New Roman" w:eastAsia="Times New Roman" w:hAnsi="Times New Roman" w:cs="Times New Roman"/>
          <w:b/>
          <w:bCs/>
          <w:sz w:val="24"/>
          <w:szCs w:val="24"/>
          <w:lang w:eastAsia="es-MX"/>
        </w:rPr>
        <w:t>B. Variables Operativas y de Legalidad</w:t>
      </w:r>
    </w:p>
    <w:p w14:paraId="21E0ED76" w14:textId="77777777" w:rsidR="00E205E1" w:rsidRPr="00F20756" w:rsidRDefault="00E205E1" w:rsidP="00E205E1">
      <w:pPr>
        <w:spacing w:after="0" w:line="240" w:lineRule="auto"/>
        <w:jc w:val="both"/>
        <w:rPr>
          <w:rFonts w:ascii="Times New Roman" w:eastAsia="Times New Roman" w:hAnsi="Times New Roman" w:cs="Times New Roman"/>
          <w:b/>
          <w:bCs/>
          <w:sz w:val="24"/>
          <w:szCs w:val="24"/>
          <w:lang w:eastAsia="es-MX"/>
        </w:rPr>
      </w:pPr>
    </w:p>
    <w:p w14:paraId="4D029DBC" w14:textId="77777777" w:rsidR="00E205E1" w:rsidRPr="00F20756" w:rsidRDefault="00E205E1" w:rsidP="00E205E1">
      <w:pPr>
        <w:numPr>
          <w:ilvl w:val="0"/>
          <w:numId w:val="7"/>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Volumen de Sólidos Removidos (m</w:t>
      </w:r>
      <w:r w:rsidRPr="00F20756">
        <w:rPr>
          <w:rFonts w:ascii="Times New Roman" w:eastAsia="Times New Roman" w:hAnsi="Times New Roman" w:cs="Times New Roman"/>
          <w:b/>
          <w:bCs/>
          <w:sz w:val="24"/>
          <w:szCs w:val="24"/>
          <w:vertAlign w:val="superscript"/>
          <w:lang w:eastAsia="es-MX"/>
        </w:rPr>
        <w:t>3</w:t>
      </w:r>
      <w:r w:rsidRPr="00F20756">
        <w:rPr>
          <w:rFonts w:ascii="Times New Roman" w:eastAsia="Times New Roman" w:hAnsi="Times New Roman" w:cs="Times New Roman"/>
          <w:b/>
          <w:bCs/>
          <w:sz w:val="24"/>
          <w:szCs w:val="24"/>
          <w:lang w:eastAsia="es-MX"/>
        </w:rPr>
        <w:t>/día)</w:t>
      </w:r>
      <w:r w:rsidRPr="00F20756">
        <w:rPr>
          <w:rFonts w:ascii="Times New Roman" w:eastAsia="Times New Roman" w:hAnsi="Times New Roman" w:cs="Times New Roman"/>
          <w:sz w:val="24"/>
          <w:szCs w:val="24"/>
          <w:lang w:eastAsia="es-MX"/>
        </w:rPr>
        <w:t>: Cálculo del volumen total de arena y grava succionado del lecho del río en relación con la capacidad de carga del ecosistema ripario.</w:t>
      </w:r>
    </w:p>
    <w:p w14:paraId="786A1547" w14:textId="77777777" w:rsidR="00E205E1" w:rsidRPr="00F20756" w:rsidRDefault="00E205E1" w:rsidP="00E205E1">
      <w:pPr>
        <w:numPr>
          <w:ilvl w:val="0"/>
          <w:numId w:val="7"/>
        </w:numPr>
        <w:spacing w:after="0" w:line="240" w:lineRule="auto"/>
        <w:ind w:left="0"/>
        <w:jc w:val="both"/>
        <w:rPr>
          <w:rFonts w:ascii="Times New Roman" w:eastAsia="Times New Roman" w:hAnsi="Times New Roman" w:cs="Times New Roman"/>
          <w:sz w:val="24"/>
          <w:szCs w:val="24"/>
          <w:lang w:eastAsia="es-MX"/>
        </w:rPr>
      </w:pPr>
    </w:p>
    <w:p w14:paraId="18BF38C9" w14:textId="77777777" w:rsidR="00E205E1" w:rsidRPr="00F20756" w:rsidRDefault="00E205E1" w:rsidP="00E205E1">
      <w:pPr>
        <w:numPr>
          <w:ilvl w:val="0"/>
          <w:numId w:val="7"/>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Porcentaje de Cumplimiento de Consulta Previa</w:t>
      </w:r>
      <w:r w:rsidRPr="00F20756">
        <w:rPr>
          <w:rFonts w:ascii="Times New Roman" w:eastAsia="Times New Roman" w:hAnsi="Times New Roman" w:cs="Times New Roman"/>
          <w:sz w:val="24"/>
          <w:szCs w:val="24"/>
          <w:lang w:eastAsia="es-MX"/>
        </w:rPr>
        <w:t>: Variable binaria y cualitativa que mide el estatus de legalidad del punto de extracción frente al Convenio 169 de la OIT.</w:t>
      </w:r>
    </w:p>
    <w:p w14:paraId="7AF23163"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385D8FE9" w14:textId="77777777" w:rsidR="00E205E1" w:rsidRPr="00F20756" w:rsidRDefault="00E205E1" w:rsidP="00E205E1">
      <w:pPr>
        <w:numPr>
          <w:ilvl w:val="0"/>
          <w:numId w:val="7"/>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Índice de Traslape con Áreas de Exclusión</w:t>
      </w:r>
      <w:r w:rsidRPr="00F20756">
        <w:rPr>
          <w:rFonts w:ascii="Times New Roman" w:eastAsia="Times New Roman" w:hAnsi="Times New Roman" w:cs="Times New Roman"/>
          <w:sz w:val="24"/>
          <w:szCs w:val="24"/>
          <w:lang w:eastAsia="es-MX"/>
        </w:rPr>
        <w:t>: Monitoreo geográfico para verificar si las balsas operan en zonas estrictamente prohibidas por la legislación ambiental (ej. zonas de amortiguación o humedales Ramsar).</w:t>
      </w:r>
    </w:p>
    <w:p w14:paraId="7866BBAD"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183ADA7B" w14:textId="77777777" w:rsidR="00E205E1" w:rsidRPr="00F20756" w:rsidRDefault="00E205E1" w:rsidP="00E205E1">
      <w:pPr>
        <w:spacing w:after="0" w:line="240" w:lineRule="auto"/>
        <w:jc w:val="both"/>
        <w:rPr>
          <w:rFonts w:ascii="Times New Roman" w:eastAsia="Times New Roman" w:hAnsi="Times New Roman" w:cs="Times New Roman"/>
          <w:b/>
          <w:bCs/>
          <w:sz w:val="24"/>
          <w:szCs w:val="24"/>
          <w:lang w:eastAsia="es-MX"/>
        </w:rPr>
      </w:pPr>
      <w:r w:rsidRPr="00F20756">
        <w:rPr>
          <w:rFonts w:ascii="Times New Roman" w:eastAsia="Times New Roman" w:hAnsi="Times New Roman" w:cs="Times New Roman"/>
          <w:b/>
          <w:bCs/>
          <w:sz w:val="24"/>
          <w:szCs w:val="24"/>
          <w:lang w:eastAsia="es-MX"/>
        </w:rPr>
        <w:t>C. Importancia del Monitoreo Basado en estas Variables</w:t>
      </w:r>
    </w:p>
    <w:p w14:paraId="24DC5343" w14:textId="77777777" w:rsidR="00E205E1" w:rsidRPr="00F20756" w:rsidRDefault="00E205E1" w:rsidP="00E205E1">
      <w:pPr>
        <w:spacing w:after="0" w:line="240" w:lineRule="auto"/>
        <w:jc w:val="both"/>
        <w:rPr>
          <w:rFonts w:ascii="Times New Roman" w:eastAsia="Times New Roman" w:hAnsi="Times New Roman" w:cs="Times New Roman"/>
          <w:b/>
          <w:bCs/>
          <w:sz w:val="24"/>
          <w:szCs w:val="24"/>
          <w:lang w:eastAsia="es-MX"/>
        </w:rPr>
      </w:pPr>
    </w:p>
    <w:p w14:paraId="3372FC1F"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sz w:val="24"/>
          <w:szCs w:val="24"/>
          <w:lang w:eastAsia="es-MX"/>
        </w:rPr>
        <w:t xml:space="preserve">El monitoreo sistemático de estas variables específicas (especialmente el binomio </w:t>
      </w:r>
      <w:r w:rsidRPr="00F20756">
        <w:rPr>
          <w:rFonts w:ascii="Times New Roman" w:eastAsia="Times New Roman" w:hAnsi="Times New Roman" w:cs="Times New Roman"/>
          <w:b/>
          <w:bCs/>
          <w:sz w:val="24"/>
          <w:szCs w:val="24"/>
          <w:lang w:eastAsia="es-MX"/>
        </w:rPr>
        <w:t>dragas-turbidez</w:t>
      </w:r>
      <w:r w:rsidRPr="00F20756">
        <w:rPr>
          <w:rFonts w:ascii="Times New Roman" w:eastAsia="Times New Roman" w:hAnsi="Times New Roman" w:cs="Times New Roman"/>
          <w:sz w:val="24"/>
          <w:szCs w:val="24"/>
          <w:lang w:eastAsia="es-MX"/>
        </w:rPr>
        <w:t>) es de vital importancia por las siguientes razones de fondo:</w:t>
      </w:r>
    </w:p>
    <w:p w14:paraId="5D3EEF60"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527225F8" w14:textId="77777777" w:rsidR="00E205E1" w:rsidRPr="00F20756" w:rsidRDefault="00E205E1" w:rsidP="00E205E1">
      <w:pPr>
        <w:numPr>
          <w:ilvl w:val="0"/>
          <w:numId w:val="8"/>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Rompe la Asimetría de la Evidencia</w:t>
      </w:r>
      <w:r w:rsidRPr="00F20756">
        <w:rPr>
          <w:rFonts w:ascii="Times New Roman" w:eastAsia="Times New Roman" w:hAnsi="Times New Roman" w:cs="Times New Roman"/>
          <w:sz w:val="24"/>
          <w:szCs w:val="24"/>
          <w:lang w:eastAsia="es-MX"/>
        </w:rPr>
        <w:t>: Dota a las autoridades tradicionales indígenas de datos científicos inobjetables para demostrar ante la Corte Constitucional el daño real que la minería informal infringe a su ecosistema hídrico.</w:t>
      </w:r>
    </w:p>
    <w:p w14:paraId="00276ABF"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0336D817" w14:textId="77777777" w:rsidR="00E205E1" w:rsidRPr="00F20756" w:rsidRDefault="00E205E1" w:rsidP="00E205E1">
      <w:pPr>
        <w:numPr>
          <w:ilvl w:val="0"/>
          <w:numId w:val="8"/>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Activa Alertas de Seguridad Alimentaria</w:t>
      </w:r>
      <w:r w:rsidRPr="00F20756">
        <w:rPr>
          <w:rFonts w:ascii="Times New Roman" w:eastAsia="Times New Roman" w:hAnsi="Times New Roman" w:cs="Times New Roman"/>
          <w:sz w:val="24"/>
          <w:szCs w:val="24"/>
          <w:lang w:eastAsia="es-MX"/>
        </w:rPr>
        <w:t>: El incremento crítico de la turbidez está directamente correlacionado con la migración y muerte de peces. Monitorear este indicador permite anticipar hambrunas o crisis de subsistencia en los resguardos.</w:t>
      </w:r>
    </w:p>
    <w:p w14:paraId="6A0C8E65" w14:textId="77777777" w:rsidR="00E205E1" w:rsidRPr="00F20756" w:rsidRDefault="00E205E1" w:rsidP="00E205E1">
      <w:pPr>
        <w:spacing w:after="0" w:line="240" w:lineRule="auto"/>
        <w:jc w:val="both"/>
        <w:rPr>
          <w:rFonts w:ascii="Times New Roman" w:eastAsia="Times New Roman" w:hAnsi="Times New Roman" w:cs="Times New Roman"/>
          <w:sz w:val="24"/>
          <w:szCs w:val="24"/>
          <w:lang w:eastAsia="es-MX"/>
        </w:rPr>
      </w:pPr>
    </w:p>
    <w:p w14:paraId="7EBFAF10" w14:textId="77777777" w:rsidR="00E205E1" w:rsidRPr="00F20756" w:rsidRDefault="00E205E1" w:rsidP="00E205E1">
      <w:pPr>
        <w:numPr>
          <w:ilvl w:val="0"/>
          <w:numId w:val="8"/>
        </w:numPr>
        <w:spacing w:after="0" w:line="240" w:lineRule="auto"/>
        <w:ind w:left="0"/>
        <w:jc w:val="both"/>
        <w:rPr>
          <w:rFonts w:ascii="Times New Roman" w:eastAsia="Times New Roman" w:hAnsi="Times New Roman" w:cs="Times New Roman"/>
          <w:sz w:val="24"/>
          <w:szCs w:val="24"/>
          <w:lang w:eastAsia="es-MX"/>
        </w:rPr>
      </w:pPr>
      <w:r w:rsidRPr="00F20756">
        <w:rPr>
          <w:rFonts w:ascii="Times New Roman" w:eastAsia="Times New Roman" w:hAnsi="Times New Roman" w:cs="Times New Roman"/>
          <w:b/>
          <w:bCs/>
          <w:sz w:val="24"/>
          <w:szCs w:val="24"/>
          <w:lang w:eastAsia="es-MX"/>
        </w:rPr>
        <w:t>Optimiza la Acción Fiscalizadora</w:t>
      </w:r>
      <w:r w:rsidRPr="00F20756">
        <w:rPr>
          <w:rFonts w:ascii="Times New Roman" w:eastAsia="Times New Roman" w:hAnsi="Times New Roman" w:cs="Times New Roman"/>
          <w:sz w:val="24"/>
          <w:szCs w:val="24"/>
          <w:lang w:eastAsia="es-MX"/>
        </w:rPr>
        <w:t>: Permite a la CDA y a la fuerza pública dirigir los operativos de incautación y destrucción de dragas de manera estratégica hacia los puntos de mayor afectación morfodinámica en el río.</w:t>
      </w:r>
    </w:p>
    <w:p w14:paraId="070E7366" w14:textId="77777777" w:rsidR="00E205E1" w:rsidRPr="00F20756" w:rsidRDefault="00E205E1" w:rsidP="00F21DF1">
      <w:pPr>
        <w:jc w:val="both"/>
        <w:rPr>
          <w:rFonts w:ascii="Times New Roman" w:hAnsi="Times New Roman" w:cs="Times New Roman"/>
          <w:sz w:val="24"/>
          <w:szCs w:val="24"/>
        </w:rPr>
      </w:pPr>
    </w:p>
    <w:p w14:paraId="2094F79F" w14:textId="6B00A35E" w:rsidR="00E205E1" w:rsidRPr="00F20756" w:rsidRDefault="00E205E1" w:rsidP="00F21DF1">
      <w:pPr>
        <w:jc w:val="both"/>
        <w:rPr>
          <w:rFonts w:ascii="Times New Roman" w:hAnsi="Times New Roman" w:cs="Times New Roman"/>
          <w:sz w:val="24"/>
          <w:szCs w:val="24"/>
        </w:rPr>
      </w:pPr>
      <w:r w:rsidRPr="00F20756">
        <w:rPr>
          <w:rFonts w:ascii="Times New Roman" w:hAnsi="Times New Roman" w:cs="Times New Roman"/>
          <w:sz w:val="24"/>
          <w:szCs w:val="24"/>
        </w:rPr>
        <w:t xml:space="preserve">En la explotación aurífera de aluvión se pudo observar que </w:t>
      </w:r>
      <w:proofErr w:type="spellStart"/>
      <w:r w:rsidRPr="00F20756">
        <w:rPr>
          <w:rFonts w:ascii="Times New Roman" w:hAnsi="Times New Roman" w:cs="Times New Roman"/>
          <w:sz w:val="24"/>
          <w:szCs w:val="24"/>
        </w:rPr>
        <w:t>seviene</w:t>
      </w:r>
      <w:proofErr w:type="spellEnd"/>
      <w:r w:rsidRPr="00F20756">
        <w:rPr>
          <w:rFonts w:ascii="Times New Roman" w:hAnsi="Times New Roman" w:cs="Times New Roman"/>
          <w:sz w:val="24"/>
          <w:szCs w:val="24"/>
        </w:rPr>
        <w:t xml:space="preserve"> realizando en </w:t>
      </w:r>
      <w:proofErr w:type="gramStart"/>
      <w:r w:rsidRPr="00F20756">
        <w:rPr>
          <w:rFonts w:ascii="Times New Roman" w:hAnsi="Times New Roman" w:cs="Times New Roman"/>
          <w:sz w:val="24"/>
          <w:szCs w:val="24"/>
        </w:rPr>
        <w:t>una marco jurídico</w:t>
      </w:r>
      <w:proofErr w:type="gramEnd"/>
      <w:r w:rsidRPr="00F20756">
        <w:rPr>
          <w:rFonts w:ascii="Times New Roman" w:hAnsi="Times New Roman" w:cs="Times New Roman"/>
          <w:sz w:val="24"/>
          <w:szCs w:val="24"/>
        </w:rPr>
        <w:t xml:space="preserve"> de carácter ilegal, con técnicas y equipos que producen baja recuperación de oro y efectos negativos sobre los ecosistemas.</w:t>
      </w:r>
    </w:p>
    <w:p w14:paraId="7E94D834" w14:textId="77777777" w:rsidR="00E205E1" w:rsidRPr="00F20756" w:rsidRDefault="00E205E1" w:rsidP="00F21DF1">
      <w:pPr>
        <w:jc w:val="both"/>
        <w:rPr>
          <w:rFonts w:ascii="Times New Roman" w:hAnsi="Times New Roman" w:cs="Times New Roman"/>
          <w:sz w:val="24"/>
          <w:szCs w:val="24"/>
        </w:rPr>
      </w:pPr>
    </w:p>
    <w:p w14:paraId="2AF80D10" w14:textId="191FC4F6" w:rsidR="008C3250" w:rsidRPr="00F20756" w:rsidRDefault="008C3250" w:rsidP="00F21DF1">
      <w:pPr>
        <w:jc w:val="both"/>
        <w:rPr>
          <w:rFonts w:ascii="Times New Roman" w:hAnsi="Times New Roman" w:cs="Times New Roman"/>
          <w:sz w:val="24"/>
          <w:szCs w:val="24"/>
        </w:rPr>
      </w:pPr>
      <w:r w:rsidRPr="00F20756">
        <w:rPr>
          <w:rFonts w:ascii="Times New Roman" w:hAnsi="Times New Roman" w:cs="Times New Roman"/>
          <w:sz w:val="24"/>
          <w:szCs w:val="24"/>
        </w:rPr>
        <w:t xml:space="preserve">Lo que caracteriza el departamento de Guainía es su inmenso cantidad de recursos hídricos , incluyendo su capital Inírida  que se encuentra a las orillas del rio que recibe su mismo nombre, un factor relevante en biología para saber </w:t>
      </w:r>
      <w:r w:rsidR="000E2A47" w:rsidRPr="00F20756">
        <w:rPr>
          <w:rFonts w:ascii="Times New Roman" w:hAnsi="Times New Roman" w:cs="Times New Roman"/>
          <w:sz w:val="24"/>
          <w:szCs w:val="24"/>
        </w:rPr>
        <w:t>cómo</w:t>
      </w:r>
      <w:r w:rsidRPr="00F20756">
        <w:rPr>
          <w:rFonts w:ascii="Times New Roman" w:hAnsi="Times New Roman" w:cs="Times New Roman"/>
          <w:sz w:val="24"/>
          <w:szCs w:val="24"/>
        </w:rPr>
        <w:t xml:space="preserve"> se encuentra un ecosistema es saber el estado de las especies de este; en los ecosistemas acuáticos el grupo de animales más representativos son los peces que para el caso del rio Inírida de acuerdo a un estudio realizado por Carlos Lasso se encuentran alrededor de 280 especies diferentes, con interés para los humanos como especies ornamentales y de consumo, recalcando la riqueza natural de esta región que se puede ver afectada por actividades mineras</w:t>
      </w:r>
      <w:r w:rsidR="000E2A47" w:rsidRPr="00F20756">
        <w:rPr>
          <w:rFonts w:ascii="Times New Roman" w:hAnsi="Times New Roman" w:cs="Times New Roman"/>
          <w:sz w:val="24"/>
          <w:szCs w:val="24"/>
        </w:rPr>
        <w:t xml:space="preserve"> ya que este ecosistema está en contante interacción con estas actividades como es el uso de mercurio</w:t>
      </w:r>
      <w:r w:rsidRPr="00F20756">
        <w:rPr>
          <w:rFonts w:ascii="Times New Roman" w:hAnsi="Times New Roman" w:cs="Times New Roman"/>
          <w:sz w:val="24"/>
          <w:szCs w:val="24"/>
        </w:rPr>
        <w:t>.</w:t>
      </w:r>
    </w:p>
    <w:p w14:paraId="0894A587" w14:textId="0DC393AF" w:rsidR="00093C96" w:rsidRPr="00F20756" w:rsidRDefault="00E151AD" w:rsidP="00F21DF1">
      <w:pPr>
        <w:jc w:val="both"/>
        <w:rPr>
          <w:rFonts w:ascii="Times New Roman" w:hAnsi="Times New Roman" w:cs="Times New Roman"/>
          <w:sz w:val="24"/>
          <w:szCs w:val="24"/>
        </w:rPr>
      </w:pPr>
      <w:r w:rsidRPr="00F20756">
        <w:rPr>
          <w:rFonts w:ascii="Times New Roman" w:hAnsi="Times New Roman" w:cs="Times New Roman"/>
          <w:sz w:val="24"/>
          <w:szCs w:val="24"/>
        </w:rPr>
        <w:t xml:space="preserve">Para identificar lo relevante para las poblaciones de Guainía es necesario identificar las actividades relevantes para su subsistencia como es el alimentarse, dormir e interacción social, un estudio relevante sobre la importancia de las especies para este caso de flora es realizado por Landínez y Linares la cual Plantas dendroenergéticas utilizadas por una </w:t>
      </w:r>
      <w:r w:rsidRPr="00F20756">
        <w:rPr>
          <w:rFonts w:ascii="Times New Roman" w:hAnsi="Times New Roman" w:cs="Times New Roman"/>
          <w:sz w:val="24"/>
          <w:szCs w:val="24"/>
        </w:rPr>
        <w:lastRenderedPageBreak/>
        <w:t xml:space="preserve">comunidad indígena Piapoco en Guainía, Colombia, la cual se centra en la laguna colorada donde muestra las diferentes familias, especies de plantas que son de vital importancia para </w:t>
      </w:r>
    </w:p>
    <w:p w14:paraId="5FB93A79" w14:textId="009D8BCC" w:rsidR="00CF20D3" w:rsidRPr="00F20756" w:rsidRDefault="00CF20D3" w:rsidP="00F21DF1">
      <w:pPr>
        <w:jc w:val="both"/>
        <w:rPr>
          <w:rFonts w:ascii="Times New Roman" w:hAnsi="Times New Roman" w:cs="Times New Roman"/>
          <w:sz w:val="24"/>
          <w:szCs w:val="24"/>
        </w:rPr>
      </w:pPr>
      <w:r w:rsidRPr="00F20756">
        <w:rPr>
          <w:rFonts w:ascii="Times New Roman" w:hAnsi="Times New Roman" w:cs="Times New Roman"/>
          <w:sz w:val="24"/>
          <w:szCs w:val="24"/>
        </w:rPr>
        <w:t>Las personas que habitan una región determinada por mucho tiempo adquieren conocimientos empíricos reales que permiten identificar lo realmente importante , las verdaderas riquezas del territorio; esta situación es la que podemos evidencias r en regiones con u</w:t>
      </w:r>
      <w:r w:rsidR="001E3A11" w:rsidRPr="00F20756">
        <w:rPr>
          <w:rFonts w:ascii="Times New Roman" w:hAnsi="Times New Roman" w:cs="Times New Roman"/>
          <w:sz w:val="24"/>
          <w:szCs w:val="24"/>
        </w:rPr>
        <w:t>n</w:t>
      </w:r>
      <w:r w:rsidRPr="00F20756">
        <w:rPr>
          <w:rFonts w:ascii="Times New Roman" w:hAnsi="Times New Roman" w:cs="Times New Roman"/>
          <w:sz w:val="24"/>
          <w:szCs w:val="24"/>
        </w:rPr>
        <w:t xml:space="preserve">a alta población de grupos indígenas como es el departamento de Guainía y estudios que los abalan en su territorio como el realizado en </w:t>
      </w:r>
      <w:r w:rsidR="001E3A11" w:rsidRPr="00F20756">
        <w:rPr>
          <w:rFonts w:ascii="Times New Roman" w:hAnsi="Times New Roman" w:cs="Times New Roman"/>
          <w:sz w:val="24"/>
          <w:szCs w:val="24"/>
        </w:rPr>
        <w:t>la</w:t>
      </w:r>
      <w:r w:rsidRPr="00F20756">
        <w:rPr>
          <w:rFonts w:ascii="Times New Roman" w:hAnsi="Times New Roman" w:cs="Times New Roman"/>
          <w:sz w:val="24"/>
          <w:szCs w:val="24"/>
        </w:rPr>
        <w:t xml:space="preserve"> comunidad Chorrobocón; para esto se contó</w:t>
      </w:r>
      <w:r w:rsidR="001E3A11" w:rsidRPr="00F20756">
        <w:rPr>
          <w:rFonts w:ascii="Times New Roman" w:hAnsi="Times New Roman" w:cs="Times New Roman"/>
          <w:sz w:val="24"/>
          <w:szCs w:val="24"/>
        </w:rPr>
        <w:t xml:space="preserve"> </w:t>
      </w:r>
      <w:r w:rsidRPr="00F20756">
        <w:rPr>
          <w:rFonts w:ascii="Times New Roman" w:hAnsi="Times New Roman" w:cs="Times New Roman"/>
          <w:sz w:val="24"/>
          <w:szCs w:val="24"/>
        </w:rPr>
        <w:t>con la colaboración de los funcionarios de la Reserva Nacional Natural Puinawai (Unidad Administrativa Especial de Parques Nacionales),</w:t>
      </w:r>
      <w:r w:rsidR="001E3A11" w:rsidRPr="00F20756">
        <w:rPr>
          <w:rFonts w:ascii="Times New Roman" w:hAnsi="Times New Roman" w:cs="Times New Roman"/>
          <w:sz w:val="24"/>
          <w:szCs w:val="24"/>
        </w:rPr>
        <w:t>donde realiza la identificación de los comportamientos y conocimientos tradicionales de los indígenas sobre la estructura de paisaje alrededor del rio Inírida donde resalta la identificación de las plantas, animales de importancia , actividades como la caza, la pesca la recolección la siembra de ciertas plantas como ejemplo la yuca amarga para obtener el casabe</w:t>
      </w:r>
      <w:r w:rsidR="005B0550" w:rsidRPr="00F20756">
        <w:rPr>
          <w:rFonts w:ascii="Times New Roman" w:hAnsi="Times New Roman" w:cs="Times New Roman"/>
          <w:sz w:val="24"/>
          <w:szCs w:val="24"/>
        </w:rPr>
        <w:t xml:space="preserve"> y </w:t>
      </w:r>
      <w:r w:rsidR="001E3A11" w:rsidRPr="00F20756">
        <w:rPr>
          <w:rFonts w:ascii="Times New Roman" w:hAnsi="Times New Roman" w:cs="Times New Roman"/>
          <w:sz w:val="24"/>
          <w:szCs w:val="24"/>
        </w:rPr>
        <w:t xml:space="preserve"> como actividades como la minería de oro</w:t>
      </w:r>
      <w:r w:rsidR="005B0550" w:rsidRPr="00F20756">
        <w:rPr>
          <w:rFonts w:ascii="Times New Roman" w:hAnsi="Times New Roman" w:cs="Times New Roman"/>
          <w:sz w:val="24"/>
          <w:szCs w:val="24"/>
        </w:rPr>
        <w:t xml:space="preserve"> que</w:t>
      </w:r>
      <w:r w:rsidR="001E3A11" w:rsidRPr="00F20756">
        <w:rPr>
          <w:rFonts w:ascii="Times New Roman" w:hAnsi="Times New Roman" w:cs="Times New Roman"/>
          <w:sz w:val="24"/>
          <w:szCs w:val="24"/>
        </w:rPr>
        <w:t xml:space="preserve"> han alterado los comportamientos tradiciones y disminuyendo interacciones sociales </w:t>
      </w:r>
      <w:r w:rsidR="005B0550" w:rsidRPr="00F20756">
        <w:rPr>
          <w:rFonts w:ascii="Times New Roman" w:hAnsi="Times New Roman" w:cs="Times New Roman"/>
          <w:sz w:val="24"/>
          <w:szCs w:val="24"/>
        </w:rPr>
        <w:t>y alteraciones en la estructura del suelo y márgenes del rio.</w:t>
      </w:r>
      <w:r w:rsidR="001E3A11" w:rsidRPr="00F20756">
        <w:rPr>
          <w:rFonts w:ascii="Times New Roman" w:hAnsi="Times New Roman" w:cs="Times New Roman"/>
          <w:sz w:val="24"/>
          <w:szCs w:val="24"/>
        </w:rPr>
        <w:t xml:space="preserve">. </w:t>
      </w:r>
      <w:r w:rsidR="00A6406C" w:rsidRPr="00F20756">
        <w:rPr>
          <w:rFonts w:ascii="Times New Roman" w:hAnsi="Times New Roman" w:cs="Times New Roman"/>
          <w:sz w:val="24"/>
          <w:szCs w:val="24"/>
        </w:rPr>
        <w:t>3</w:t>
      </w:r>
      <w:r w:rsidR="001E3A11" w:rsidRPr="00F20756">
        <w:rPr>
          <w:rFonts w:ascii="Times New Roman" w:hAnsi="Times New Roman" w:cs="Times New Roman"/>
          <w:sz w:val="24"/>
          <w:szCs w:val="24"/>
        </w:rPr>
        <w:t>.</w:t>
      </w:r>
    </w:p>
    <w:p w14:paraId="09D51321" w14:textId="77777777" w:rsidR="00F20756" w:rsidRPr="00F20756" w:rsidRDefault="00F20756" w:rsidP="00F20756">
      <w:pPr>
        <w:spacing w:after="180" w:line="240" w:lineRule="auto"/>
        <w:jc w:val="both"/>
        <w:rPr>
          <w:rFonts w:ascii="Times New Roman" w:eastAsia="Times New Roman" w:hAnsi="Times New Roman" w:cs="Times New Roman"/>
          <w:b/>
          <w:bCs/>
          <w:lang w:eastAsia="es-MX"/>
        </w:rPr>
      </w:pPr>
      <w:r w:rsidRPr="00F20756">
        <w:rPr>
          <w:rFonts w:ascii="Times New Roman" w:hAnsi="Times New Roman" w:cs="Times New Roman"/>
          <w:sz w:val="24"/>
          <w:szCs w:val="24"/>
        </w:rPr>
        <w:t xml:space="preserve"> </w:t>
      </w:r>
      <w:r w:rsidRPr="00F20756">
        <w:rPr>
          <w:rFonts w:ascii="Times New Roman" w:eastAsia="Times New Roman" w:hAnsi="Times New Roman" w:cs="Times New Roman"/>
          <w:b/>
          <w:bCs/>
          <w:lang w:eastAsia="es-MX"/>
        </w:rPr>
        <w:t>Impactos mecánicos, Sedimentación y Destrucción del Hábitat Bentónico</w:t>
      </w:r>
    </w:p>
    <w:p w14:paraId="4E4B92C2" w14:textId="77777777" w:rsidR="00F20756" w:rsidRPr="00F20756" w:rsidRDefault="00F20756" w:rsidP="00F20756">
      <w:pPr>
        <w:spacing w:line="240" w:lineRule="auto"/>
        <w:jc w:val="both"/>
        <w:rPr>
          <w:rFonts w:ascii="Times New Roman" w:eastAsia="Times New Roman" w:hAnsi="Times New Roman" w:cs="Times New Roman"/>
          <w:lang w:eastAsia="es-MX"/>
        </w:rPr>
      </w:pPr>
      <w:r w:rsidRPr="00F20756">
        <w:rPr>
          <w:rFonts w:ascii="Times New Roman" w:eastAsia="Times New Roman" w:hAnsi="Times New Roman" w:cs="Times New Roman"/>
          <w:lang w:eastAsia="es-MX"/>
        </w:rPr>
        <w:t xml:space="preserve">La extracción de materiales de construcción a través de dragas tipo balsa opera mediante sistemas de succión neumática y chorros de agua a alta presión (mecanismo de </w:t>
      </w:r>
      <w:r w:rsidRPr="00F20756">
        <w:rPr>
          <w:rFonts w:ascii="Times New Roman" w:eastAsia="Times New Roman" w:hAnsi="Times New Roman" w:cs="Times New Roman"/>
          <w:i/>
          <w:iCs/>
          <w:lang w:eastAsia="es-MX"/>
        </w:rPr>
        <w:t>jet</w:t>
      </w:r>
      <w:r w:rsidRPr="00F20756">
        <w:rPr>
          <w:rFonts w:ascii="Times New Roman" w:eastAsia="Times New Roman" w:hAnsi="Times New Roman" w:cs="Times New Roman"/>
          <w:lang w:eastAsia="es-MX"/>
        </w:rPr>
        <w:t>). Este proceso genera una alteración física inmediata y profunda sobre la morfodinámica del lecho del río. Al succionar de forma indiscriminada los sedimentos del fondo para clasificar mecánicamente las arenas y gravas, se destruye por completo la comunidad bentónica conformada por macroinvertebrados, algas y microorganismos que sirven de eslabón base en la cadena trófica del río Inírida. Los impactos ambientales directos derivados de esta operación hidromecánica se sistematizan bajo tres ejes críticos de afectación:</w:t>
      </w:r>
    </w:p>
    <w:p w14:paraId="4449F80A" w14:textId="77777777" w:rsidR="00F20756" w:rsidRPr="00F20756" w:rsidRDefault="00F20756" w:rsidP="00F20756">
      <w:pPr>
        <w:spacing w:after="0" w:line="240" w:lineRule="auto"/>
        <w:jc w:val="both"/>
        <w:rPr>
          <w:rFonts w:ascii="Times New Roman" w:eastAsia="Times New Roman" w:hAnsi="Times New Roman" w:cs="Times New Roman"/>
          <w:lang w:eastAsia="es-MX"/>
        </w:rPr>
      </w:pPr>
      <w:r w:rsidRPr="00F20756">
        <w:rPr>
          <w:rFonts w:ascii="Times New Roman" w:eastAsia="Times New Roman" w:hAnsi="Times New Roman" w:cs="Times New Roman"/>
          <w:b/>
          <w:bCs/>
          <w:lang w:eastAsia="es-MX"/>
        </w:rPr>
        <w:t>Alteración Crítica de la Turbidez y la Pluma de Sedimentación:</w:t>
      </w:r>
      <w:r w:rsidRPr="00F20756">
        <w:rPr>
          <w:rFonts w:ascii="Times New Roman" w:eastAsia="Times New Roman" w:hAnsi="Times New Roman" w:cs="Times New Roman"/>
          <w:lang w:eastAsia="es-MX"/>
        </w:rPr>
        <w:t xml:space="preserve"> El descarte del material fino y limoso no comercializado es vertido directamente de regreso al río de manera continua. Este desecho genera una pluma de sedimentación densa y persistente que eleva los niveles de turbidez del agua (medidos en Unidades Nefelométricas de Turbidez - NTU) a rangos intolerables para las especies nativas. El aumento de sólidos suspendidos bloquea la penetración de la radiación solar en la columna de agua, deteniendo los procesos de fotosíntesis de las pocas plantas acuáticas y fitoplancton existentes. Asimismo, estas partículas se adhieren y taponan mecánicamente las branquias de los peces y los órganos filtradores de los bivalvos, provocando eventos de mortandad masiva o la migración forzada de las poblaciones de peces hacia caños interiores secos, lo que desabastece los caladeros de pesca tradicionales.</w:t>
      </w:r>
    </w:p>
    <w:p w14:paraId="64BD701F" w14:textId="77777777" w:rsidR="00F20756" w:rsidRPr="00F20756" w:rsidRDefault="00F20756" w:rsidP="00F20756">
      <w:pPr>
        <w:spacing w:after="0" w:line="240" w:lineRule="auto"/>
        <w:jc w:val="both"/>
        <w:rPr>
          <w:rFonts w:ascii="Times New Roman" w:eastAsia="Times New Roman" w:hAnsi="Times New Roman" w:cs="Times New Roman"/>
          <w:lang w:eastAsia="es-MX"/>
        </w:rPr>
      </w:pPr>
    </w:p>
    <w:p w14:paraId="528342F5" w14:textId="77777777" w:rsidR="00F20756" w:rsidRPr="00F20756" w:rsidRDefault="00F20756" w:rsidP="00F20756">
      <w:pPr>
        <w:spacing w:after="0" w:line="240" w:lineRule="auto"/>
        <w:jc w:val="both"/>
        <w:rPr>
          <w:rFonts w:ascii="Times New Roman" w:eastAsia="Times New Roman" w:hAnsi="Times New Roman" w:cs="Times New Roman"/>
          <w:lang w:eastAsia="es-MX"/>
        </w:rPr>
      </w:pPr>
      <w:r w:rsidRPr="00F20756">
        <w:rPr>
          <w:rFonts w:ascii="Times New Roman" w:eastAsia="Times New Roman" w:hAnsi="Times New Roman" w:cs="Times New Roman"/>
          <w:b/>
          <w:bCs/>
          <w:lang w:eastAsia="es-MX"/>
        </w:rPr>
        <w:t>Desestabilización de Riberas y Cambios Morfológicos en el Cauce:</w:t>
      </w:r>
      <w:r w:rsidRPr="00F20756">
        <w:rPr>
          <w:rFonts w:ascii="Times New Roman" w:eastAsia="Times New Roman" w:hAnsi="Times New Roman" w:cs="Times New Roman"/>
          <w:lang w:eastAsia="es-MX"/>
        </w:rPr>
        <w:t xml:space="preserve"> La succión del material de arrastre rompe el perfil de equilibrio del río. Para compensar el vacío dejado por la extracción en el centro del cauce, la dinámica hidráulica del río acelera el socavamiento y el desmoronamiento lateral de las márgenes ribereñas. Esto causa la pérdida de árboles de galería y la destrucción de los bosques de vega que estabilizan las orillas. Al desaparecer los playones naturales de decantación debido al dragado continuo, el río pierde su capacidad de disipar la energía de la corriente durante las épocas de altas lluvias, incrementando los riesgos de inundaciones repentinas y destructivas sobre los asentamientos humanos rurales.</w:t>
      </w:r>
    </w:p>
    <w:p w14:paraId="10AC87D9" w14:textId="77777777" w:rsidR="00F20756" w:rsidRPr="00F20756" w:rsidRDefault="00F20756" w:rsidP="00F20756">
      <w:pPr>
        <w:spacing w:after="0" w:line="240" w:lineRule="auto"/>
        <w:jc w:val="both"/>
        <w:rPr>
          <w:rFonts w:ascii="Times New Roman" w:eastAsia="Times New Roman" w:hAnsi="Times New Roman" w:cs="Times New Roman"/>
          <w:lang w:eastAsia="es-MX"/>
        </w:rPr>
      </w:pPr>
    </w:p>
    <w:p w14:paraId="45E45750" w14:textId="77777777" w:rsidR="00F20756" w:rsidRPr="00F20756" w:rsidRDefault="00F20756" w:rsidP="00F20756">
      <w:pPr>
        <w:numPr>
          <w:ilvl w:val="0"/>
          <w:numId w:val="9"/>
        </w:numPr>
        <w:spacing w:after="0" w:line="240" w:lineRule="auto"/>
        <w:ind w:left="0"/>
        <w:jc w:val="both"/>
        <w:rPr>
          <w:rFonts w:ascii="Times New Roman" w:eastAsia="Times New Roman" w:hAnsi="Times New Roman" w:cs="Times New Roman"/>
          <w:lang w:eastAsia="es-MX"/>
        </w:rPr>
      </w:pPr>
      <w:r w:rsidRPr="00F20756">
        <w:rPr>
          <w:rFonts w:ascii="Times New Roman" w:eastAsia="Times New Roman" w:hAnsi="Times New Roman" w:cs="Times New Roman"/>
          <w:b/>
          <w:bCs/>
          <w:lang w:eastAsia="es-MX"/>
        </w:rPr>
        <w:t>Contaminación Química por Hidrocarburos y Desechos Operativos:</w:t>
      </w:r>
      <w:r w:rsidRPr="00F20756">
        <w:rPr>
          <w:rFonts w:ascii="Times New Roman" w:eastAsia="Times New Roman" w:hAnsi="Times New Roman" w:cs="Times New Roman"/>
          <w:lang w:eastAsia="es-MX"/>
        </w:rPr>
        <w:t xml:space="preserve"> Aunque la extracción de gravas no emplea mercurio como la minería de oro, introduce una carga significativa de </w:t>
      </w:r>
      <w:r w:rsidRPr="00F20756">
        <w:rPr>
          <w:rFonts w:ascii="Times New Roman" w:eastAsia="Times New Roman" w:hAnsi="Times New Roman" w:cs="Times New Roman"/>
          <w:lang w:eastAsia="es-MX"/>
        </w:rPr>
        <w:lastRenderedPageBreak/>
        <w:t>contaminación química difusa. Las dragas tipo balsa utilizan motores diésel de combustión interna mal mantenidos y sin sistemas de contención de vertimientos. Durante las operaciones diarias de bombeo y mantenimiento rutinario, se vierten de manera directa y accidental aceites usados, combustibles (ACPM) y grasas lubricantes al cauce. Estos hidrocarburos forman películas superficiales hidrofóbicas que rompen el intercambio de oxígeno entre la atmósfera y el agua, acumulándose en los sedimentos costeros e intoxicando a largo plazo los organismos filtradores y la vegetación de las orillas que las comunidades locales emplean para su sustento cotidiano.</w:t>
      </w:r>
    </w:p>
    <w:p w14:paraId="29D1C3DF" w14:textId="63F67CD7" w:rsidR="00F715C7" w:rsidRPr="00F20756" w:rsidRDefault="00F715C7" w:rsidP="00F21DF1">
      <w:pPr>
        <w:jc w:val="both"/>
        <w:rPr>
          <w:rFonts w:ascii="Times New Roman" w:hAnsi="Times New Roman" w:cs="Times New Roman"/>
          <w:sz w:val="24"/>
          <w:szCs w:val="24"/>
        </w:rPr>
      </w:pPr>
    </w:p>
    <w:p w14:paraId="5D807ADA" w14:textId="77777777" w:rsidR="00160528" w:rsidRPr="00F20756" w:rsidRDefault="00160528" w:rsidP="00160528">
      <w:pPr>
        <w:jc w:val="both"/>
        <w:rPr>
          <w:rFonts w:ascii="Times New Roman" w:hAnsi="Times New Roman" w:cs="Times New Roman"/>
          <w:b/>
          <w:bCs/>
          <w:sz w:val="24"/>
          <w:szCs w:val="24"/>
        </w:rPr>
      </w:pPr>
      <w:r w:rsidRPr="00F20756">
        <w:rPr>
          <w:rFonts w:ascii="Times New Roman" w:hAnsi="Times New Roman" w:cs="Times New Roman"/>
          <w:b/>
          <w:bCs/>
          <w:sz w:val="24"/>
          <w:szCs w:val="24"/>
        </w:rPr>
        <w:t xml:space="preserve">Conclusiones </w:t>
      </w:r>
    </w:p>
    <w:p w14:paraId="24F5ECFE" w14:textId="1E168726" w:rsidR="00160528" w:rsidRPr="00F20756" w:rsidRDefault="00160528" w:rsidP="00160528">
      <w:pPr>
        <w:jc w:val="both"/>
        <w:rPr>
          <w:rFonts w:ascii="Times New Roman" w:hAnsi="Times New Roman" w:cs="Times New Roman"/>
          <w:sz w:val="24"/>
          <w:szCs w:val="24"/>
        </w:rPr>
      </w:pPr>
      <w:r w:rsidRPr="00F20756">
        <w:rPr>
          <w:rFonts w:ascii="Times New Roman" w:hAnsi="Times New Roman" w:cs="Times New Roman"/>
          <w:sz w:val="24"/>
          <w:szCs w:val="24"/>
        </w:rPr>
        <w:t>Los depósitos de oro aluvial están medianamente explotados y las cuencas aún tienen grandes reservas de oro; por lo tanto las expectativas</w:t>
      </w:r>
      <w:r w:rsidRPr="00F20756">
        <w:rPr>
          <w:rFonts w:ascii="Times New Roman" w:hAnsi="Times New Roman" w:cs="Times New Roman"/>
          <w:sz w:val="24"/>
          <w:szCs w:val="24"/>
        </w:rPr>
        <w:t xml:space="preserve"> </w:t>
      </w:r>
      <w:r w:rsidRPr="00F20756">
        <w:rPr>
          <w:rFonts w:ascii="Times New Roman" w:hAnsi="Times New Roman" w:cs="Times New Roman"/>
          <w:sz w:val="24"/>
          <w:szCs w:val="24"/>
        </w:rPr>
        <w:t xml:space="preserve">de explotación a corto y mediano plazo son de incremento en los volúmenes de extracción, no solo en los ríos Guainía e Inírida, sino en </w:t>
      </w:r>
      <w:r w:rsidRPr="00F20756">
        <w:rPr>
          <w:rFonts w:ascii="Times New Roman" w:hAnsi="Times New Roman" w:cs="Times New Roman"/>
          <w:sz w:val="24"/>
          <w:szCs w:val="24"/>
        </w:rPr>
        <w:t>sus afluentes</w:t>
      </w:r>
      <w:r w:rsidRPr="00F20756">
        <w:rPr>
          <w:rFonts w:ascii="Times New Roman" w:hAnsi="Times New Roman" w:cs="Times New Roman"/>
          <w:sz w:val="24"/>
          <w:szCs w:val="24"/>
        </w:rPr>
        <w:t xml:space="preserve"> aún no prospectados.- La minería en la región de estudio es el renglón económico </w:t>
      </w:r>
      <w:r w:rsidRPr="00F20756">
        <w:rPr>
          <w:rFonts w:ascii="Times New Roman" w:hAnsi="Times New Roman" w:cs="Times New Roman"/>
          <w:sz w:val="24"/>
          <w:szCs w:val="24"/>
        </w:rPr>
        <w:t>más importante</w:t>
      </w:r>
      <w:r w:rsidRPr="00F20756">
        <w:rPr>
          <w:rFonts w:ascii="Times New Roman" w:hAnsi="Times New Roman" w:cs="Times New Roman"/>
          <w:sz w:val="24"/>
          <w:szCs w:val="24"/>
        </w:rPr>
        <w:t xml:space="preserve"> y su influencia en la economía departamental la convierte en un factor preponderante de sus ingresos, dinamizando las actividades del comercio y el transporte.</w:t>
      </w:r>
    </w:p>
    <w:p w14:paraId="0991800D" w14:textId="77777777" w:rsidR="00160528" w:rsidRPr="00F20756" w:rsidRDefault="00160528" w:rsidP="00160528">
      <w:pPr>
        <w:jc w:val="both"/>
        <w:rPr>
          <w:rFonts w:ascii="Times New Roman" w:hAnsi="Times New Roman" w:cs="Times New Roman"/>
          <w:sz w:val="24"/>
          <w:szCs w:val="24"/>
        </w:rPr>
      </w:pPr>
      <w:r w:rsidRPr="00F20756">
        <w:rPr>
          <w:rFonts w:ascii="Times New Roman" w:hAnsi="Times New Roman" w:cs="Times New Roman"/>
          <w:sz w:val="24"/>
          <w:szCs w:val="24"/>
        </w:rPr>
        <w:t>Existe desconocimiento de la oferta y demanda ambiental, a nivel acuático y subacuático y por lo tanto es imposible la cuantificación real de los impactos sobre estos componentes</w:t>
      </w:r>
    </w:p>
    <w:p w14:paraId="2DEA39E8" w14:textId="77777777" w:rsidR="00160528" w:rsidRPr="00F20756" w:rsidRDefault="00160528" w:rsidP="00160528">
      <w:pPr>
        <w:jc w:val="both"/>
        <w:rPr>
          <w:rFonts w:ascii="Times New Roman" w:hAnsi="Times New Roman" w:cs="Times New Roman"/>
          <w:sz w:val="24"/>
          <w:szCs w:val="24"/>
        </w:rPr>
      </w:pPr>
      <w:r w:rsidRPr="00F20756">
        <w:rPr>
          <w:rFonts w:ascii="Times New Roman" w:hAnsi="Times New Roman" w:cs="Times New Roman"/>
          <w:sz w:val="24"/>
          <w:szCs w:val="24"/>
        </w:rPr>
        <w:t>Aunque los efectos ambientales por la explotación de los placeres auríferos no son tan notables, si son acumulativos y sus impactos a mediano y largo plazo pueden ser irreversibles e irrecuperables las condiciones naturales del medio</w:t>
      </w:r>
    </w:p>
    <w:p w14:paraId="085010C9" w14:textId="77777777" w:rsidR="00F715C7" w:rsidRPr="00F20756" w:rsidRDefault="00F715C7" w:rsidP="00F21DF1">
      <w:pPr>
        <w:jc w:val="both"/>
        <w:rPr>
          <w:rFonts w:ascii="Times New Roman" w:hAnsi="Times New Roman" w:cs="Times New Roman"/>
          <w:sz w:val="24"/>
          <w:szCs w:val="24"/>
        </w:rPr>
      </w:pPr>
    </w:p>
    <w:p w14:paraId="67EE2F27" w14:textId="77777777" w:rsidR="00F715C7" w:rsidRPr="00F20756" w:rsidRDefault="00F715C7" w:rsidP="00F21DF1">
      <w:pPr>
        <w:jc w:val="both"/>
        <w:rPr>
          <w:rFonts w:ascii="Times New Roman" w:hAnsi="Times New Roman" w:cs="Times New Roman"/>
          <w:sz w:val="24"/>
          <w:szCs w:val="24"/>
        </w:rPr>
      </w:pPr>
    </w:p>
    <w:p w14:paraId="3BABFE62" w14:textId="77777777" w:rsidR="00F715C7" w:rsidRPr="00F20756" w:rsidRDefault="00F715C7" w:rsidP="00F21DF1">
      <w:pPr>
        <w:jc w:val="both"/>
        <w:rPr>
          <w:rFonts w:ascii="Times New Roman" w:hAnsi="Times New Roman" w:cs="Times New Roman"/>
          <w:sz w:val="24"/>
          <w:szCs w:val="24"/>
        </w:rPr>
      </w:pPr>
    </w:p>
    <w:p w14:paraId="618C0DA5" w14:textId="0CB647DD" w:rsidR="00F715C7" w:rsidRPr="00F20756" w:rsidRDefault="00F715C7" w:rsidP="00F21DF1">
      <w:pPr>
        <w:jc w:val="both"/>
        <w:rPr>
          <w:rFonts w:ascii="Times New Roman" w:hAnsi="Times New Roman" w:cs="Times New Roman"/>
          <w:sz w:val="24"/>
          <w:szCs w:val="24"/>
        </w:rPr>
      </w:pPr>
      <w:r w:rsidRPr="00F20756">
        <w:rPr>
          <w:rFonts w:ascii="Times New Roman" w:hAnsi="Times New Roman" w:cs="Times New Roman"/>
          <w:sz w:val="24"/>
          <w:szCs w:val="24"/>
        </w:rPr>
        <w:t xml:space="preserve">Bibliografía </w:t>
      </w:r>
    </w:p>
    <w:p w14:paraId="2565A927" w14:textId="4DE87694" w:rsidR="00FF35B7" w:rsidRPr="00F20756" w:rsidRDefault="008C3250" w:rsidP="00F21DF1">
      <w:pPr>
        <w:pStyle w:val="Prrafodelista"/>
        <w:numPr>
          <w:ilvl w:val="0"/>
          <w:numId w:val="2"/>
        </w:numPr>
        <w:jc w:val="both"/>
        <w:rPr>
          <w:rFonts w:ascii="Times New Roman" w:hAnsi="Times New Roman" w:cs="Times New Roman"/>
          <w:sz w:val="24"/>
          <w:szCs w:val="24"/>
        </w:rPr>
      </w:pPr>
      <w:r w:rsidRPr="00F20756">
        <w:rPr>
          <w:rFonts w:ascii="Times New Roman" w:hAnsi="Times New Roman" w:cs="Times New Roman"/>
          <w:sz w:val="24"/>
          <w:szCs w:val="24"/>
        </w:rPr>
        <w:t xml:space="preserve">LASSO, Carlos., </w:t>
      </w:r>
      <w:proofErr w:type="gramStart"/>
      <w:r w:rsidRPr="00F20756">
        <w:rPr>
          <w:rFonts w:ascii="Times New Roman" w:hAnsi="Times New Roman" w:cs="Times New Roman"/>
          <w:sz w:val="24"/>
          <w:szCs w:val="24"/>
        </w:rPr>
        <w:t>et al.(</w:t>
      </w:r>
      <w:proofErr w:type="gramEnd"/>
      <w:r w:rsidRPr="00F20756">
        <w:rPr>
          <w:rFonts w:ascii="Times New Roman" w:hAnsi="Times New Roman" w:cs="Times New Roman"/>
          <w:sz w:val="24"/>
          <w:szCs w:val="24"/>
        </w:rPr>
        <w:t xml:space="preserve">2014) Peces de la Estrella Fluvial Inírida: ríos Guaviare, Inírida, Atabapo y su confluencia en el Orinoco. Biodiversidad de la Estrella Fluvial Inírida. WWF Colombia, Fundación </w:t>
      </w:r>
      <w:proofErr w:type="spellStart"/>
      <w:r w:rsidRPr="00F20756">
        <w:rPr>
          <w:rFonts w:ascii="Times New Roman" w:hAnsi="Times New Roman" w:cs="Times New Roman"/>
          <w:sz w:val="24"/>
          <w:szCs w:val="24"/>
        </w:rPr>
        <w:t>Omacha</w:t>
      </w:r>
      <w:proofErr w:type="spellEnd"/>
      <w:r w:rsidRPr="00F20756">
        <w:rPr>
          <w:rFonts w:ascii="Times New Roman" w:hAnsi="Times New Roman" w:cs="Times New Roman"/>
          <w:sz w:val="24"/>
          <w:szCs w:val="24"/>
        </w:rPr>
        <w:t xml:space="preserve">, Instituto de Investigación de Los Recursos Biológicos Alexander </w:t>
      </w:r>
      <w:proofErr w:type="spellStart"/>
      <w:r w:rsidRPr="00F20756">
        <w:rPr>
          <w:rFonts w:ascii="Times New Roman" w:hAnsi="Times New Roman" w:cs="Times New Roman"/>
          <w:sz w:val="24"/>
          <w:szCs w:val="24"/>
        </w:rPr>
        <w:t>Von</w:t>
      </w:r>
      <w:proofErr w:type="spellEnd"/>
      <w:r w:rsidRPr="00F20756">
        <w:rPr>
          <w:rFonts w:ascii="Times New Roman" w:hAnsi="Times New Roman" w:cs="Times New Roman"/>
          <w:sz w:val="24"/>
          <w:szCs w:val="24"/>
        </w:rPr>
        <w:t xml:space="preserve"> Humboldt, Bogotá, 100-127 p.</w:t>
      </w:r>
    </w:p>
    <w:p w14:paraId="264BC882" w14:textId="77777777" w:rsidR="00F21DF1" w:rsidRPr="00F20756" w:rsidRDefault="00912B79" w:rsidP="00F21DF1">
      <w:pPr>
        <w:pStyle w:val="Prrafodelista"/>
        <w:numPr>
          <w:ilvl w:val="0"/>
          <w:numId w:val="2"/>
        </w:numPr>
        <w:jc w:val="both"/>
        <w:rPr>
          <w:rFonts w:ascii="Times New Roman" w:hAnsi="Times New Roman" w:cs="Times New Roman"/>
          <w:sz w:val="24"/>
          <w:szCs w:val="24"/>
        </w:rPr>
      </w:pPr>
      <w:r w:rsidRPr="00F20756">
        <w:rPr>
          <w:rFonts w:ascii="Times New Roman" w:hAnsi="Times New Roman" w:cs="Times New Roman"/>
          <w:sz w:val="24"/>
          <w:szCs w:val="24"/>
        </w:rPr>
        <w:t xml:space="preserve">Quevedo, Alonso &amp; Luna </w:t>
      </w:r>
      <w:proofErr w:type="gramStart"/>
      <w:r w:rsidRPr="00F20756">
        <w:rPr>
          <w:rFonts w:ascii="Times New Roman" w:hAnsi="Times New Roman" w:cs="Times New Roman"/>
          <w:sz w:val="24"/>
          <w:szCs w:val="24"/>
        </w:rPr>
        <w:t>Juan.(</w:t>
      </w:r>
      <w:proofErr w:type="gramEnd"/>
      <w:r w:rsidRPr="00F20756">
        <w:rPr>
          <w:rFonts w:ascii="Times New Roman" w:hAnsi="Times New Roman" w:cs="Times New Roman"/>
          <w:sz w:val="24"/>
          <w:szCs w:val="24"/>
        </w:rPr>
        <w:t xml:space="preserve">2012). Dos nuevas especies de aves para Colombia en el departamento del Guainía. Fundación </w:t>
      </w:r>
      <w:proofErr w:type="spellStart"/>
      <w:r w:rsidRPr="00F20756">
        <w:rPr>
          <w:rFonts w:ascii="Times New Roman" w:hAnsi="Times New Roman" w:cs="Times New Roman"/>
          <w:sz w:val="24"/>
          <w:szCs w:val="24"/>
        </w:rPr>
        <w:t>ProAves</w:t>
      </w:r>
      <w:proofErr w:type="spellEnd"/>
      <w:r w:rsidRPr="00F20756">
        <w:rPr>
          <w:rFonts w:ascii="Times New Roman" w:hAnsi="Times New Roman" w:cs="Times New Roman"/>
          <w:sz w:val="24"/>
          <w:szCs w:val="24"/>
        </w:rPr>
        <w:t xml:space="preserve">, </w:t>
      </w:r>
      <w:r w:rsidRPr="00F20756">
        <w:rPr>
          <w:rFonts w:ascii="Times New Roman" w:hAnsi="Times New Roman" w:cs="Times New Roman"/>
          <w:i/>
          <w:iCs/>
          <w:sz w:val="24"/>
          <w:szCs w:val="24"/>
        </w:rPr>
        <w:t xml:space="preserve">Conservación Colombiana. </w:t>
      </w:r>
      <w:r w:rsidRPr="00F20756">
        <w:rPr>
          <w:rFonts w:ascii="Times New Roman" w:hAnsi="Times New Roman" w:cs="Times New Roman"/>
          <w:sz w:val="24"/>
          <w:szCs w:val="24"/>
        </w:rPr>
        <w:t>Numero 12. Recuperado de</w:t>
      </w:r>
      <w:r w:rsidR="00F21DF1" w:rsidRPr="00F20756">
        <w:rPr>
          <w:rFonts w:ascii="Times New Roman" w:hAnsi="Times New Roman" w:cs="Times New Roman"/>
          <w:sz w:val="24"/>
          <w:szCs w:val="24"/>
        </w:rPr>
        <w:t xml:space="preserve"> </w:t>
      </w:r>
    </w:p>
    <w:p w14:paraId="6E551F52" w14:textId="04F7823B" w:rsidR="00912B79" w:rsidRPr="00F20756" w:rsidRDefault="00912B79" w:rsidP="00F21DF1">
      <w:pPr>
        <w:pStyle w:val="Prrafodelista"/>
        <w:jc w:val="both"/>
        <w:rPr>
          <w:rFonts w:ascii="Times New Roman" w:hAnsi="Times New Roman" w:cs="Times New Roman"/>
          <w:sz w:val="24"/>
          <w:szCs w:val="24"/>
        </w:rPr>
      </w:pPr>
      <w:r w:rsidRPr="00F20756">
        <w:rPr>
          <w:rFonts w:ascii="Times New Roman" w:hAnsi="Times New Roman" w:cs="Times New Roman"/>
          <w:sz w:val="24"/>
          <w:szCs w:val="24"/>
        </w:rPr>
        <w:t xml:space="preserve"> </w:t>
      </w:r>
      <w:r w:rsidR="00F21DF1" w:rsidRPr="00F20756">
        <w:rPr>
          <w:rFonts w:ascii="Times New Roman" w:hAnsi="Times New Roman" w:cs="Times New Roman"/>
          <w:sz w:val="24"/>
          <w:szCs w:val="24"/>
        </w:rPr>
        <w:t>https://www.proaves.org/wp-content/uploads/2012/11/Con_Col_17_26-27_Naquen.pdf</w:t>
      </w:r>
    </w:p>
    <w:p w14:paraId="4A326815" w14:textId="77777777" w:rsidR="00FF35B7" w:rsidRPr="00F20756" w:rsidRDefault="00FF35B7" w:rsidP="00FF35B7">
      <w:pPr>
        <w:rPr>
          <w:rFonts w:ascii="Times New Roman" w:hAnsi="Times New Roman" w:cs="Times New Roman"/>
          <w:sz w:val="24"/>
          <w:szCs w:val="24"/>
        </w:rPr>
      </w:pPr>
    </w:p>
    <w:sectPr w:rsidR="00FF35B7" w:rsidRPr="00F2075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4370C"/>
    <w:multiLevelType w:val="multilevel"/>
    <w:tmpl w:val="0A969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A8630D"/>
    <w:multiLevelType w:val="multilevel"/>
    <w:tmpl w:val="508A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453E51"/>
    <w:multiLevelType w:val="hybridMultilevel"/>
    <w:tmpl w:val="921A6B34"/>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1922ECF"/>
    <w:multiLevelType w:val="multilevel"/>
    <w:tmpl w:val="132A8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375564"/>
    <w:multiLevelType w:val="multilevel"/>
    <w:tmpl w:val="5FE08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0CD206E"/>
    <w:multiLevelType w:val="hybridMultilevel"/>
    <w:tmpl w:val="F94A10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349655D"/>
    <w:multiLevelType w:val="multilevel"/>
    <w:tmpl w:val="F9280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BB518F"/>
    <w:multiLevelType w:val="multilevel"/>
    <w:tmpl w:val="3316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BD6037"/>
    <w:multiLevelType w:val="hybridMultilevel"/>
    <w:tmpl w:val="9ABA717A"/>
    <w:lvl w:ilvl="0" w:tplc="869A440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86738836">
    <w:abstractNumId w:val="8"/>
  </w:num>
  <w:num w:numId="2" w16cid:durableId="1183014550">
    <w:abstractNumId w:val="5"/>
  </w:num>
  <w:num w:numId="3" w16cid:durableId="584723527">
    <w:abstractNumId w:val="2"/>
  </w:num>
  <w:num w:numId="4" w16cid:durableId="1227111787">
    <w:abstractNumId w:val="7"/>
  </w:num>
  <w:num w:numId="5" w16cid:durableId="1152260418">
    <w:abstractNumId w:val="4"/>
  </w:num>
  <w:num w:numId="6" w16cid:durableId="319776240">
    <w:abstractNumId w:val="3"/>
  </w:num>
  <w:num w:numId="7" w16cid:durableId="1425493527">
    <w:abstractNumId w:val="6"/>
  </w:num>
  <w:num w:numId="8" w16cid:durableId="1314334460">
    <w:abstractNumId w:val="1"/>
  </w:num>
  <w:num w:numId="9" w16cid:durableId="343173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E39"/>
    <w:rsid w:val="000222A2"/>
    <w:rsid w:val="00093C96"/>
    <w:rsid w:val="000E2A47"/>
    <w:rsid w:val="00133DD5"/>
    <w:rsid w:val="00160528"/>
    <w:rsid w:val="001E3A11"/>
    <w:rsid w:val="002E0326"/>
    <w:rsid w:val="00394A90"/>
    <w:rsid w:val="004940B6"/>
    <w:rsid w:val="004E5050"/>
    <w:rsid w:val="005B0550"/>
    <w:rsid w:val="00622AFA"/>
    <w:rsid w:val="00687A43"/>
    <w:rsid w:val="006C1004"/>
    <w:rsid w:val="008C3250"/>
    <w:rsid w:val="00912B79"/>
    <w:rsid w:val="00936B27"/>
    <w:rsid w:val="00A6406C"/>
    <w:rsid w:val="00B321A9"/>
    <w:rsid w:val="00C718A3"/>
    <w:rsid w:val="00CA7E39"/>
    <w:rsid w:val="00CD4782"/>
    <w:rsid w:val="00CF20D3"/>
    <w:rsid w:val="00E151AD"/>
    <w:rsid w:val="00E205E1"/>
    <w:rsid w:val="00ED1223"/>
    <w:rsid w:val="00F20756"/>
    <w:rsid w:val="00F21DF1"/>
    <w:rsid w:val="00F715C7"/>
    <w:rsid w:val="00FD7627"/>
    <w:rsid w:val="00FF35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54E69"/>
  <w15:chartTrackingRefBased/>
  <w15:docId w15:val="{42845307-2CC0-4925-8ED9-7E22118DD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A7E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A7E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A7E3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A7E3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A7E3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A7E3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A7E3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A7E3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A7E3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A7E39"/>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A7E39"/>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A7E39"/>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A7E39"/>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A7E39"/>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A7E3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A7E3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A7E3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A7E39"/>
    <w:rPr>
      <w:rFonts w:eastAsiaTheme="majorEastAsia" w:cstheme="majorBidi"/>
      <w:color w:val="272727" w:themeColor="text1" w:themeTint="D8"/>
    </w:rPr>
  </w:style>
  <w:style w:type="paragraph" w:styleId="Ttulo">
    <w:name w:val="Title"/>
    <w:basedOn w:val="Normal"/>
    <w:next w:val="Normal"/>
    <w:link w:val="TtuloCar"/>
    <w:uiPriority w:val="10"/>
    <w:qFormat/>
    <w:rsid w:val="00CA7E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A7E3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A7E3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A7E3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A7E39"/>
    <w:pPr>
      <w:spacing w:before="160"/>
      <w:jc w:val="center"/>
    </w:pPr>
    <w:rPr>
      <w:i/>
      <w:iCs/>
      <w:color w:val="404040" w:themeColor="text1" w:themeTint="BF"/>
    </w:rPr>
  </w:style>
  <w:style w:type="character" w:customStyle="1" w:styleId="CitaCar">
    <w:name w:val="Cita Car"/>
    <w:basedOn w:val="Fuentedeprrafopredeter"/>
    <w:link w:val="Cita"/>
    <w:uiPriority w:val="29"/>
    <w:rsid w:val="00CA7E39"/>
    <w:rPr>
      <w:i/>
      <w:iCs/>
      <w:color w:val="404040" w:themeColor="text1" w:themeTint="BF"/>
    </w:rPr>
  </w:style>
  <w:style w:type="paragraph" w:styleId="Prrafodelista">
    <w:name w:val="List Paragraph"/>
    <w:basedOn w:val="Normal"/>
    <w:uiPriority w:val="34"/>
    <w:qFormat/>
    <w:rsid w:val="00CA7E39"/>
    <w:pPr>
      <w:ind w:left="720"/>
      <w:contextualSpacing/>
    </w:pPr>
  </w:style>
  <w:style w:type="character" w:styleId="nfasisintenso">
    <w:name w:val="Intense Emphasis"/>
    <w:basedOn w:val="Fuentedeprrafopredeter"/>
    <w:uiPriority w:val="21"/>
    <w:qFormat/>
    <w:rsid w:val="00CA7E39"/>
    <w:rPr>
      <w:i/>
      <w:iCs/>
      <w:color w:val="2F5496" w:themeColor="accent1" w:themeShade="BF"/>
    </w:rPr>
  </w:style>
  <w:style w:type="paragraph" w:styleId="Citadestacada">
    <w:name w:val="Intense Quote"/>
    <w:basedOn w:val="Normal"/>
    <w:next w:val="Normal"/>
    <w:link w:val="CitadestacadaCar"/>
    <w:uiPriority w:val="30"/>
    <w:qFormat/>
    <w:rsid w:val="00CA7E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A7E39"/>
    <w:rPr>
      <w:i/>
      <w:iCs/>
      <w:color w:val="2F5496" w:themeColor="accent1" w:themeShade="BF"/>
    </w:rPr>
  </w:style>
  <w:style w:type="character" w:styleId="Referenciaintensa">
    <w:name w:val="Intense Reference"/>
    <w:basedOn w:val="Fuentedeprrafopredeter"/>
    <w:uiPriority w:val="32"/>
    <w:qFormat/>
    <w:rsid w:val="00CA7E39"/>
    <w:rPr>
      <w:b/>
      <w:bCs/>
      <w:smallCaps/>
      <w:color w:val="2F5496" w:themeColor="accent1" w:themeShade="BF"/>
      <w:spacing w:val="5"/>
    </w:rPr>
  </w:style>
  <w:style w:type="paragraph" w:customStyle="1" w:styleId="paragraph">
    <w:name w:val="paragraph"/>
    <w:basedOn w:val="Normal"/>
    <w:rsid w:val="00CA7E3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CA7E39"/>
  </w:style>
  <w:style w:type="character" w:customStyle="1" w:styleId="eop">
    <w:name w:val="eop"/>
    <w:basedOn w:val="Fuentedeprrafopredeter"/>
    <w:rsid w:val="00CA7E39"/>
  </w:style>
  <w:style w:type="paragraph" w:styleId="Sinespaciado">
    <w:name w:val="No Spacing"/>
    <w:uiPriority w:val="1"/>
    <w:qFormat/>
    <w:rsid w:val="004E50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54EFC-53E2-408B-89A0-A97CA7BA627E}">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customXml/itemProps2.xml><?xml version="1.0" encoding="utf-8"?>
<ds:datastoreItem xmlns:ds="http://schemas.openxmlformats.org/officeDocument/2006/customXml" ds:itemID="{A6390A45-0A76-4845-AA7E-A1A97D70A642}">
  <ds:schemaRefs>
    <ds:schemaRef ds:uri="http://schemas.microsoft.com/sharepoint/v3/contenttype/forms"/>
  </ds:schemaRefs>
</ds:datastoreItem>
</file>

<file path=customXml/itemProps3.xml><?xml version="1.0" encoding="utf-8"?>
<ds:datastoreItem xmlns:ds="http://schemas.openxmlformats.org/officeDocument/2006/customXml" ds:itemID="{9446E031-B12E-4804-ACCA-3B613EF8B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0eb54b-ed74-4015-9471-3cb1cdbbf6c9"/>
    <ds:schemaRef ds:uri="3b49c8c8-e26a-41ee-aa49-e613427f3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8</Pages>
  <Words>2537</Words>
  <Characters>13955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Cristancho</dc:creator>
  <cp:keywords/>
  <dc:description/>
  <cp:lastModifiedBy>LAPTOP</cp:lastModifiedBy>
  <cp:revision>14</cp:revision>
  <dcterms:created xsi:type="dcterms:W3CDTF">2026-04-23T13:31:00Z</dcterms:created>
  <dcterms:modified xsi:type="dcterms:W3CDTF">2026-06-27T23:55:00Z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